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88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caps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5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</w:rPr>
      </w:r>
    </w:p>
    <w:p>
      <w:pPr>
        <w:pStyle w:val="988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цен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88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только субъекты МСП</w:t>
      </w: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spacing w:line="240" w:lineRule="auto"/>
      </w:pPr>
      <w:r/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/>
      <w:bookmarkStart w:id="2" w:name="_Ref55337964"/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 (место нахождения и почтовый адрес: 620026, г. Екатеринбург, ул. Мамина-</w:t>
      </w:r>
      <w:r>
        <w:rPr>
          <w:sz w:val="24"/>
          <w:szCs w:val="24"/>
        </w:rPr>
        <w:t xml:space="preserve">Сибиряка, 140), настоящим приглашает к участию в сравнении цен в электронной форме (далее – закупка, сравнение цен), юридических, физических лиц, в том числе </w:t>
      </w:r>
      <w:r>
        <w:rPr>
          <w:sz w:val="24"/>
          <w:szCs w:val="24"/>
        </w:rPr>
        <w:t xml:space="preserve">индивидуальн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предпринимателей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Участников), </w:t>
      </w:r>
      <w:r>
        <w:rPr>
          <w:b/>
          <w:sz w:val="24"/>
          <w:szCs w:val="24"/>
        </w:rPr>
        <w:t xml:space="preserve">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 иностранным влиянием"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  <w:u w:val="single"/>
        </w:rPr>
        <w:t xml:space="preserve">участниками которого могут быть только субъекты МСП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bCs/>
          <w:sz w:val="24"/>
          <w:szCs w:val="24"/>
          <w14:ligatures w14:val="none"/>
        </w:rPr>
      </w:pPr>
      <w:r>
        <w:rPr>
          <w:b/>
          <w:bCs/>
          <w:sz w:val="24"/>
          <w:szCs w:val="24"/>
        </w:rPr>
      </w:r>
      <w:bookmarkStart w:id="3" w:name="_Ref303676772"/>
      <w:r>
        <w:rPr>
          <w:b/>
          <w:bCs/>
          <w:sz w:val="24"/>
          <w:szCs w:val="24"/>
        </w:rPr>
        <w:t xml:space="preserve">Предмет </w:t>
      </w:r>
      <w:r>
        <w:rPr>
          <w:b/>
          <w:bCs/>
          <w:sz w:val="24"/>
          <w:szCs w:val="24"/>
        </w:rPr>
        <w:t xml:space="preserve">з</w:t>
      </w:r>
      <w:r>
        <w:rPr>
          <w:b/>
          <w:bCs/>
          <w:sz w:val="24"/>
          <w:szCs w:val="24"/>
        </w:rPr>
        <w:t xml:space="preserve">акупки</w:t>
      </w:r>
      <w:bookmarkEnd w:id="3"/>
      <w:r>
        <w:rPr>
          <w:b/>
          <w:bCs/>
          <w:sz w:val="24"/>
          <w:szCs w:val="24"/>
        </w:rPr>
        <w:t xml:space="preserve">: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Право заключения договор</w:t>
      </w:r>
      <w:r>
        <w:rPr>
          <w:b/>
          <w:bCs/>
          <w:sz w:val="24"/>
          <w:szCs w:val="24"/>
        </w:rPr>
        <w:t xml:space="preserve">а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на </w:t>
      </w:r>
      <w:r>
        <w:rPr>
          <w:b/>
          <w:bCs/>
          <w:sz w:val="24"/>
          <w:szCs w:val="24"/>
        </w:rPr>
        <w:t xml:space="preserve"> услуги по изготовлению и замене информации на Досках Почёта ПАО «Россети Урал» и филиала ПАО «Россети Урал» - «Пермэнерго» в 2026 году</w:t>
      </w:r>
      <w:r>
        <w:rPr>
          <w:b/>
          <w:bCs/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</w:rPr>
        <w:t xml:space="preserve">опубликовано: </w:t>
      </w:r>
      <w:r>
        <w:rPr>
          <w:sz w:val="24"/>
          <w:szCs w:val="24"/>
        </w:rPr>
        <w:t xml:space="preserve">на сайте </w:t>
      </w:r>
      <w:r>
        <w:rPr>
          <w:sz w:val="24"/>
          <w:szCs w:val="24"/>
        </w:rPr>
        <w:t xml:space="preserve">электронной торговой площадки</w:t>
      </w:r>
      <w:r>
        <w:rPr>
          <w:sz w:val="24"/>
          <w:szCs w:val="24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u w:val="single"/>
        </w:rPr>
        <w:t xml:space="preserve">https://</w:t>
      </w:r>
      <w:r>
        <w:rPr>
          <w:b/>
          <w:color w:val="0000ff"/>
          <w:sz w:val="24"/>
          <w:u w:val="single"/>
          <w:lang w:val="en-US"/>
        </w:rPr>
        <w:t xml:space="preserve">tender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  <w:lang w:val="en-US"/>
        </w:rPr>
        <w:t xml:space="preserve">lot</w:t>
      </w:r>
      <w:r>
        <w:rPr>
          <w:b/>
          <w:color w:val="0000ff"/>
          <w:sz w:val="24"/>
          <w:u w:val="single"/>
        </w:rPr>
        <w:t xml:space="preserve">-</w:t>
      </w:r>
      <w:r>
        <w:rPr>
          <w:b/>
          <w:color w:val="0000ff"/>
          <w:sz w:val="24"/>
          <w:u w:val="single"/>
          <w:lang w:val="en-US"/>
        </w:rPr>
        <w:t xml:space="preserve">online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извещение №</w:t>
      </w:r>
      <w:r>
        <w:rPr>
          <w:rFonts w:ascii="Arial" w:hAnsi="Arial" w:eastAsia="Arial" w:cs="Arial"/>
          <w:color w:val="000000"/>
          <w:sz w:val="20"/>
          <w:highlight w:val="white"/>
        </w:rPr>
        <w:t xml:space="preserve">RAD260045239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10.09.</w:t>
      </w:r>
      <w:r>
        <w:rPr>
          <w:b/>
          <w:sz w:val="24"/>
          <w:szCs w:val="24"/>
        </w:rPr>
        <w:t xml:space="preserve">2026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г.</w:t>
      </w:r>
      <w:r>
        <w:rPr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55"/>
        <w:numPr>
          <w:ilvl w:val="0"/>
          <w:numId w:val="4"/>
        </w:numPr>
        <w:ind w:left="0" w:firstLine="709"/>
        <w:jc w:val="both"/>
        <w:spacing w:line="240" w:lineRule="auto"/>
        <w:widowControl w:val="off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Сравнение цен проводится на ЭТП с использованием ее функционала.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Подробное описание закупаемых товаров, работ, услуг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и условий Договора, в том числе наличие требований по обеспечению и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сполнения обязательств договора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,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содержится в Техническом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rFonts w:ascii="Times New Roman" w:hAnsi="Times New Roman"/>
          <w:sz w:val="24"/>
          <w:szCs w:val="24"/>
          <w:lang w:val="ru-RU" w:eastAsia="ru-RU"/>
        </w:rPr>
      </w:r>
      <w:r>
        <w:rPr>
          <w:rFonts w:ascii="Times New Roman" w:hAnsi="Times New Roman"/>
          <w:sz w:val="24"/>
          <w:szCs w:val="24"/>
          <w:lang w:val="ru-RU" w:eastAsia="ru-RU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Начальная</w:t>
      </w:r>
      <w:r>
        <w:rPr>
          <w:color w:val="000000"/>
          <w:sz w:val="24"/>
          <w:szCs w:val="24"/>
        </w:rPr>
        <w:t xml:space="preserve"> (максимальная) цена договора: </w:t>
      </w:r>
      <w:r>
        <w:rPr>
          <w:b/>
          <w:bCs/>
          <w:color w:val="000000"/>
          <w:sz w:val="24"/>
          <w:szCs w:val="24"/>
          <w:highlight w:val="yellow"/>
        </w:rPr>
        <w:t xml:space="preserve">229 600</w:t>
      </w:r>
      <w:r>
        <w:rPr>
          <w:b/>
          <w:bCs/>
          <w:color w:val="000000"/>
          <w:sz w:val="24"/>
          <w:szCs w:val="24"/>
          <w:highlight w:val="yellow"/>
        </w:rPr>
        <w:t xml:space="preserve">,0</w:t>
      </w:r>
      <w:r>
        <w:rPr>
          <w:b/>
          <w:bCs/>
          <w:color w:val="000000"/>
          <w:sz w:val="24"/>
          <w:szCs w:val="24"/>
          <w:highlight w:val="yellow"/>
        </w:rPr>
        <w:t xml:space="preserve">0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р</w:t>
      </w:r>
      <w:r>
        <w:rPr>
          <w:b/>
          <w:color w:val="000000"/>
          <w:sz w:val="24"/>
          <w:szCs w:val="24"/>
          <w:highlight w:val="yellow"/>
        </w:rPr>
        <w:t xml:space="preserve">уб. НДС</w:t>
      </w:r>
      <w:r>
        <w:rPr>
          <w:b/>
          <w:color w:val="000000"/>
          <w:sz w:val="24"/>
          <w:szCs w:val="24"/>
          <w:highlight w:val="yellow"/>
        </w:rPr>
        <w:t xml:space="preserve"> </w:t>
      </w:r>
      <w:r>
        <w:rPr>
          <w:b/>
          <w:color w:val="000000"/>
          <w:sz w:val="24"/>
          <w:szCs w:val="24"/>
          <w:highlight w:val="yellow"/>
        </w:rPr>
        <w:t xml:space="preserve">н</w:t>
      </w:r>
      <w:r>
        <w:rPr>
          <w:b/>
          <w:color w:val="000000"/>
          <w:sz w:val="24"/>
          <w:szCs w:val="24"/>
          <w:highlight w:val="yellow"/>
        </w:rPr>
        <w:t xml:space="preserve">е</w:t>
      </w:r>
      <w:r>
        <w:rPr>
          <w:b/>
          <w:color w:val="000000"/>
          <w:sz w:val="24"/>
          <w:szCs w:val="24"/>
          <w:highlight w:val="yellow"/>
        </w:rPr>
        <w:t xml:space="preserve"> </w:t>
      </w:r>
      <w:r>
        <w:rPr>
          <w:b/>
          <w:color w:val="000000"/>
          <w:sz w:val="24"/>
          <w:szCs w:val="24"/>
          <w:highlight w:val="yellow"/>
        </w:rPr>
        <w:t xml:space="preserve">о</w:t>
      </w:r>
      <w:r>
        <w:rPr>
          <w:b/>
          <w:color w:val="000000"/>
          <w:sz w:val="24"/>
          <w:szCs w:val="24"/>
          <w:highlight w:val="yellow"/>
        </w:rPr>
        <w:t xml:space="preserve">б</w:t>
      </w:r>
      <w:r>
        <w:rPr>
          <w:b/>
          <w:color w:val="000000"/>
          <w:sz w:val="24"/>
          <w:szCs w:val="24"/>
          <w:highlight w:val="yellow"/>
        </w:rPr>
        <w:t xml:space="preserve">л</w:t>
      </w:r>
      <w:r>
        <w:rPr>
          <w:b/>
          <w:color w:val="000000"/>
          <w:sz w:val="24"/>
          <w:szCs w:val="24"/>
          <w:highlight w:val="yellow"/>
        </w:rPr>
        <w:t xml:space="preserve">а</w:t>
      </w:r>
      <w:r>
        <w:rPr>
          <w:b/>
          <w:color w:val="000000"/>
          <w:sz w:val="24"/>
          <w:szCs w:val="24"/>
          <w:highlight w:val="yellow"/>
        </w:rPr>
        <w:t xml:space="preserve">г</w:t>
      </w:r>
      <w:r>
        <w:rPr>
          <w:b/>
          <w:color w:val="000000"/>
          <w:sz w:val="24"/>
          <w:szCs w:val="24"/>
          <w:highlight w:val="yellow"/>
        </w:rPr>
        <w:t xml:space="preserve">а</w:t>
      </w:r>
      <w:r>
        <w:rPr>
          <w:b/>
          <w:color w:val="000000"/>
          <w:sz w:val="24"/>
          <w:szCs w:val="24"/>
          <w:highlight w:val="yellow"/>
        </w:rPr>
        <w:t xml:space="preserve">е</w:t>
      </w:r>
      <w:r>
        <w:rPr>
          <w:b/>
          <w:color w:val="000000"/>
          <w:sz w:val="24"/>
          <w:szCs w:val="24"/>
          <w:highlight w:val="yellow"/>
        </w:rPr>
        <w:t xml:space="preserve">т</w:t>
      </w:r>
      <w:r>
        <w:rPr>
          <w:b/>
          <w:color w:val="000000"/>
          <w:sz w:val="24"/>
          <w:szCs w:val="24"/>
          <w:highlight w:val="yellow"/>
        </w:rPr>
        <w:t xml:space="preserve">с</w:t>
      </w:r>
      <w:r>
        <w:rPr>
          <w:b/>
          <w:color w:val="000000"/>
          <w:sz w:val="24"/>
          <w:szCs w:val="24"/>
          <w:highlight w:val="yellow"/>
        </w:rPr>
        <w:t xml:space="preserve">я</w:t>
      </w:r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  <w:t xml:space="preserve">В цену лота включены все затраты, накладные расходы, налоги, пошлины, таможенные платежи, с</w:t>
      </w:r>
      <w:r>
        <w:rPr>
          <w:sz w:val="24"/>
          <w:szCs w:val="24"/>
        </w:rP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Обоснование цены договора, единицы к</w:t>
      </w:r>
      <w:r>
        <w:rPr>
          <w:color w:val="000000"/>
          <w:sz w:val="24"/>
          <w:szCs w:val="24"/>
        </w:rPr>
        <w:t xml:space="preserve">аждого това</w:t>
      </w:r>
      <w:r>
        <w:rPr>
          <w:color w:val="000000"/>
          <w:sz w:val="24"/>
          <w:szCs w:val="24"/>
        </w:rPr>
        <w:t xml:space="preserve">ра, работы, услуги установлены в Приложении №2 к Пригл</w:t>
      </w:r>
      <w:r>
        <w:rPr>
          <w:color w:val="000000"/>
          <w:sz w:val="24"/>
          <w:szCs w:val="24"/>
        </w:rPr>
        <w:t xml:space="preserve">ашению</w:t>
      </w:r>
      <w:r>
        <w:rPr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При подаче заявки на ЭТП участник должен указать сведения о цене заявки в соответствии с выбранной им системой налогообложе</w:t>
      </w:r>
      <w:r>
        <w:rPr>
          <w:sz w:val="24"/>
          <w:szCs w:val="24"/>
        </w:rPr>
        <w:t xml:space="preserve">ни</w:t>
      </w:r>
      <w:r>
        <w:rPr>
          <w:sz w:val="24"/>
          <w:szCs w:val="24"/>
        </w:rPr>
        <w:t xml:space="preserve">я. По вопросам заполнения форм в интерфейсе ЭТП, обращаться к ре</w:t>
      </w:r>
      <w:r>
        <w:rPr>
          <w:sz w:val="24"/>
          <w:szCs w:val="24"/>
        </w:rPr>
        <w:t xml:space="preserve">гламенту </w:t>
      </w:r>
      <w:r>
        <w:rPr>
          <w:sz w:val="24"/>
          <w:szCs w:val="24"/>
        </w:rPr>
        <w:t xml:space="preserve">ЭТП, а также операт</w:t>
      </w:r>
      <w:r>
        <w:rPr>
          <w:sz w:val="24"/>
          <w:szCs w:val="24"/>
        </w:rPr>
        <w:t xml:space="preserve">ор</w:t>
      </w:r>
      <w:r>
        <w:rPr>
          <w:sz w:val="24"/>
          <w:szCs w:val="24"/>
        </w:rPr>
        <w:t xml:space="preserve">у ЭТП. </w:t>
      </w:r>
      <w:r>
        <w:rPr>
          <w:b/>
          <w:sz w:val="24"/>
          <w:szCs w:val="24"/>
        </w:rPr>
        <w:t xml:space="preserve">Сведения о цене указываются участником в Приложении №1 к </w:t>
      </w:r>
      <w:r>
        <w:rPr>
          <w:b/>
          <w:sz w:val="24"/>
          <w:szCs w:val="24"/>
        </w:rPr>
        <w:t xml:space="preserve">Приглашению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highlight w:val="none"/>
        </w:rPr>
      </w:r>
      <w:r>
        <w:rPr>
          <w:color w:val="000000"/>
          <w:sz w:val="24"/>
          <w:szCs w:val="24"/>
          <w:highlight w:val="none"/>
        </w:rPr>
      </w:r>
      <w:r>
        <w:rPr>
          <w:color w:val="000000"/>
          <w:sz w:val="24"/>
          <w:szCs w:val="24"/>
          <w:highlight w:val="none"/>
        </w:rPr>
      </w: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</w:t>
      </w:r>
      <w:r>
        <w:rPr>
          <w:b/>
          <w:color w:val="000000"/>
          <w:sz w:val="24"/>
          <w:szCs w:val="24"/>
        </w:rPr>
        <w:t xml:space="preserve">слуг</w:t>
      </w:r>
      <w:r>
        <w:rPr>
          <w:b/>
          <w:color w:val="000000"/>
          <w:sz w:val="24"/>
          <w:szCs w:val="24"/>
        </w:rPr>
        <w:t xml:space="preserve">: </w:t>
      </w:r>
      <w:r>
        <w:rPr>
          <w:sz w:val="24"/>
          <w:szCs w:val="24"/>
          <w14:ligatures w14:val="none"/>
        </w:rPr>
      </w:r>
      <w:r>
        <w:rPr>
          <w:color w:val="000000" w:themeColor="text1"/>
          <w:sz w:val="24"/>
          <w:szCs w:val="24"/>
          <w:highlight w:val="none"/>
        </w:rPr>
        <w:t xml:space="preserve">с момента заключения договора </w:t>
      </w:r>
      <w:r>
        <w:rPr>
          <w:color w:val="000000" w:themeColor="text1"/>
          <w:sz w:val="24"/>
          <w:szCs w:val="24"/>
          <w:highlight w:val="none"/>
        </w:rPr>
        <w:t xml:space="preserve"> </w:t>
      </w:r>
      <w:r>
        <w:rPr>
          <w:color w:val="000000" w:themeColor="text1"/>
          <w:sz w:val="24"/>
          <w:szCs w:val="24"/>
          <w:highlight w:val="none"/>
        </w:rPr>
        <w:t xml:space="preserve">по </w:t>
      </w:r>
      <w:r>
        <w:rPr>
          <w:color w:val="000000" w:themeColor="text1"/>
          <w:sz w:val="24"/>
          <w:szCs w:val="24"/>
          <w:highlight w:val="none"/>
        </w:rPr>
        <w:t xml:space="preserve">21</w:t>
      </w:r>
      <w:r>
        <w:rPr>
          <w:color w:val="000000" w:themeColor="text1"/>
          <w:sz w:val="24"/>
          <w:szCs w:val="24"/>
          <w:highlight w:val="none"/>
        </w:rPr>
        <w:t xml:space="preserve">.12</w:t>
      </w:r>
      <w:r>
        <w:rPr>
          <w:color w:val="000000" w:themeColor="text1"/>
          <w:sz w:val="24"/>
          <w:szCs w:val="24"/>
          <w:highlight w:val="none"/>
        </w:rPr>
        <w:t xml:space="preserve">.2</w:t>
      </w:r>
      <w:r>
        <w:rPr>
          <w:color w:val="000000" w:themeColor="text1"/>
          <w:sz w:val="24"/>
          <w:szCs w:val="24"/>
          <w:highlight w:val="none"/>
        </w:rPr>
        <w:t xml:space="preserve">026</w:t>
      </w:r>
      <w:r>
        <w:rPr>
          <w:color w:val="000000" w:themeColor="text1"/>
          <w:sz w:val="24"/>
          <w:szCs w:val="24"/>
          <w:highlight w:val="none"/>
        </w:rPr>
        <w:t xml:space="preserve"> </w:t>
      </w:r>
      <w:r/>
      <w:r>
        <w:rPr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  <w:t xml:space="preserve">г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14:ligatures w14:val="none"/>
        </w:rPr>
      </w:r>
      <w:r/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b w:val="0"/>
          <w:bCs w:val="0"/>
          <w:sz w:val="24"/>
          <w:szCs w:val="24"/>
          <w14:ligatures w14:val="none"/>
        </w:rPr>
      </w:pPr>
      <w:r>
        <w:rPr>
          <w:sz w:val="24"/>
          <w:szCs w:val="24"/>
          <w14:ligatures w14:val="none"/>
        </w:rPr>
      </w: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</w:t>
      </w:r>
      <w:r>
        <w:rPr>
          <w:b/>
          <w:color w:val="000000"/>
          <w:sz w:val="24"/>
          <w:szCs w:val="24"/>
        </w:rPr>
        <w:t xml:space="preserve">луг</w:t>
      </w:r>
      <w:r>
        <w:rPr>
          <w:sz w:val="24"/>
          <w:szCs w:val="24"/>
        </w:rPr>
        <w:t xml:space="preserve">:</w:t>
      </w:r>
      <w:r>
        <w:rPr>
          <w:b/>
          <w:sz w:val="24"/>
          <w:szCs w:val="24"/>
          <w:highlight w:val="none"/>
        </w:rPr>
        <w:t xml:space="preserve"> </w:t>
      </w:r>
      <w:r>
        <w:rPr>
          <w:b w:val="0"/>
          <w:bCs w:val="0"/>
          <w:sz w:val="24"/>
          <w:szCs w:val="24"/>
          <w:highlight w:val="none"/>
        </w:rPr>
      </w:r>
      <w:r>
        <w:rPr>
          <w:i/>
          <w:color w:val="000000" w:themeColor="text1"/>
          <w:sz w:val="24"/>
          <w:szCs w:val="24"/>
          <w:highlight w:val="none"/>
        </w:rPr>
        <w:t xml:space="preserve"> </w:t>
      </w:r>
      <w:r>
        <w:rPr>
          <w:i w:val="0"/>
          <w:iCs w:val="0"/>
          <w:color w:val="000000" w:themeColor="text1"/>
          <w:sz w:val="24"/>
          <w:szCs w:val="24"/>
          <w:highlight w:val="none"/>
        </w:rPr>
        <w:t xml:space="preserve">Россия, Пермский край</w:t>
      </w:r>
      <w:r/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.</w:t>
      </w:r>
      <w:r>
        <w:rPr>
          <w:b w:val="0"/>
          <w:bCs w:val="0"/>
          <w:sz w:val="24"/>
          <w:szCs w:val="24"/>
          <w14:ligatures w14:val="none"/>
        </w:rPr>
      </w:r>
      <w:r>
        <w:rPr>
          <w:b w:val="0"/>
          <w:bCs w:val="0"/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</w:t>
      </w:r>
      <w:r>
        <w:rPr>
          <w:color w:val="000000"/>
          <w:sz w:val="24"/>
          <w:szCs w:val="24"/>
        </w:rPr>
        <w:t xml:space="preserve">ляе</w:t>
      </w:r>
      <w:r>
        <w:rPr>
          <w:color w:val="000000"/>
          <w:sz w:val="24"/>
          <w:szCs w:val="24"/>
        </w:rPr>
        <w:t xml:space="preserve">мым товарам</w:t>
      </w:r>
      <w:r>
        <w:rPr>
          <w:color w:val="000000"/>
          <w:sz w:val="24"/>
          <w:szCs w:val="24"/>
        </w:rPr>
        <w:t xml:space="preserve">/</w:t>
      </w:r>
      <w:r>
        <w:rPr>
          <w:color w:val="000000"/>
          <w:sz w:val="24"/>
          <w:szCs w:val="24"/>
        </w:rPr>
        <w:t xml:space="preserve">вы</w:t>
      </w:r>
      <w:r>
        <w:rPr>
          <w:color w:val="000000"/>
          <w:sz w:val="24"/>
          <w:szCs w:val="24"/>
        </w:rPr>
        <w:t xml:space="preserve">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</w:t>
      </w:r>
      <w:r>
        <w:rPr>
          <w:color w:val="000000"/>
          <w:sz w:val="24"/>
          <w:szCs w:val="24"/>
        </w:rPr>
        <w:t xml:space="preserve">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</w:t>
      </w:r>
      <w:r>
        <w:rPr>
          <w:color w:val="000000" w:themeColor="text1"/>
          <w:sz w:val="24"/>
          <w:szCs w:val="24"/>
        </w:rPr>
        <w:t xml:space="preserve">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выполненные работы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</w:r>
      <w:bookmarkStart w:id="5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должен</w:t>
      </w:r>
      <w:r>
        <w:rPr>
          <w:rFonts w:eastAsia="Calibri"/>
          <w:sz w:val="24"/>
          <w:szCs w:val="24"/>
          <w:lang w:eastAsia="en-US"/>
        </w:rPr>
        <w:t xml:space="preserve"> б</w:t>
      </w:r>
      <w:r>
        <w:rPr>
          <w:rFonts w:eastAsia="Calibri"/>
          <w:sz w:val="24"/>
          <w:szCs w:val="24"/>
          <w:lang w:eastAsia="en-US"/>
        </w:rPr>
        <w:t xml:space="preserve">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5"/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</w:t>
      </w:r>
      <w:r>
        <w:rPr>
          <w:sz w:val="24"/>
          <w:szCs w:val="24"/>
        </w:rPr>
        <w:t xml:space="preserve">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yellow"/>
        </w:rPr>
        <w:t xml:space="preserve">Заявка должна быть оформлена по форме</w:t>
      </w:r>
      <w:r>
        <w:rPr>
          <w:b/>
          <w:sz w:val="24"/>
          <w:szCs w:val="24"/>
          <w:highlight w:val="yellow"/>
        </w:rPr>
        <w:t xml:space="preserve">, приведенной в Приложении № 1 к н</w:t>
      </w:r>
      <w:r>
        <w:rPr>
          <w:b/>
          <w:sz w:val="24"/>
          <w:szCs w:val="24"/>
          <w:highlight w:val="yellow"/>
        </w:rPr>
        <w:t xml:space="preserve">астоящему Приглашению</w:t>
      </w:r>
      <w:r>
        <w:rPr>
          <w:b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(Заявка на участие в закупке способом сравнения цен в </w:t>
      </w:r>
      <w:r>
        <w:rPr>
          <w:sz w:val="24"/>
          <w:szCs w:val="24"/>
          <w:highlight w:val="yellow"/>
        </w:rPr>
        <w:t xml:space="preserve">электронной форме)</w:t>
      </w:r>
      <w:r>
        <w:rPr>
          <w:sz w:val="24"/>
          <w:szCs w:val="24"/>
        </w:rPr>
        <w:t xml:space="preserve">, и быть действительной не менее чем 90 календарных дней со дня, 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  <w:highlight w:val="yellow"/>
        </w:rPr>
        <w:t xml:space="preserve"> участниками, в соответствии с Пр</w:t>
      </w:r>
      <w:r>
        <w:rPr>
          <w:b/>
          <w:sz w:val="24"/>
          <w:szCs w:val="24"/>
          <w:highlight w:val="yellow"/>
        </w:rPr>
        <w:t xml:space="preserve">иложением №2 к </w:t>
      </w:r>
      <w:r>
        <w:rPr>
          <w:b/>
          <w:sz w:val="24"/>
          <w:szCs w:val="24"/>
          <w:highlight w:val="yellow"/>
        </w:rPr>
        <w:t xml:space="preserve">Приглашению</w:t>
      </w:r>
      <w:r>
        <w:rPr>
          <w:b/>
          <w:sz w:val="24"/>
          <w:szCs w:val="24"/>
          <w:highlight w:val="yellow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</w:rPr>
        <w:t xml:space="preserve">сравнения</w:t>
      </w:r>
      <w:r>
        <w:rPr>
          <w:sz w:val="24"/>
          <w:szCs w:val="24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</w:rPr>
        <w:t xml:space="preserve"> довере</w:t>
      </w:r>
      <w:r>
        <w:rPr>
          <w:sz w:val="24"/>
          <w:szCs w:val="24"/>
          <w:highlight w:val="white"/>
        </w:rPr>
        <w:t xml:space="preserve">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</w:t>
      </w:r>
      <w:r>
        <w:rPr>
          <w:sz w:val="24"/>
          <w:szCs w:val="24"/>
          <w:highlight w:val="white"/>
        </w:rPr>
        <w:t xml:space="preserve"> 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Электронный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С</w:t>
      </w:r>
      <w:r>
        <w:rPr>
          <w:b/>
          <w:sz w:val="24"/>
          <w:szCs w:val="24"/>
          <w:highlight w:val="white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b/>
          <w:sz w:val="24"/>
          <w:szCs w:val="24"/>
          <w:highlight w:val="white"/>
        </w:rPr>
        <w:t xml:space="preserve">в</w:t>
      </w:r>
      <w:r>
        <w:rPr>
          <w:b/>
          <w:sz w:val="24"/>
          <w:szCs w:val="24"/>
          <w:highlight w:val="white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b/>
          <w:sz w:val="24"/>
          <w:szCs w:val="24"/>
          <w:highlight w:val="white"/>
        </w:rPr>
        <w:t xml:space="preserve">л</w:t>
      </w:r>
      <w:r>
        <w:rPr>
          <w:b/>
          <w:sz w:val="24"/>
          <w:szCs w:val="24"/>
          <w:highlight w:val="white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b/>
          <w:sz w:val="24"/>
          <w:szCs w:val="24"/>
          <w:highlight w:val="white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При наличии в заявке указанных расхождений, закупочная комиссия принимает решение об отклонении заявки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</w:rPr>
        <w:t xml:space="preserve">ть выражены в российских рублях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</w:rPr>
        <w:t xml:space="preserve">заявки </w:t>
      </w:r>
      <w:r>
        <w:rPr>
          <w:sz w:val="24"/>
          <w:szCs w:val="24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</w:rPr>
        <w:t xml:space="preserve"> оказания услуг,</w:t>
      </w:r>
      <w:r>
        <w:rPr>
          <w:sz w:val="24"/>
          <w:szCs w:val="24"/>
        </w:rPr>
        <w:t xml:space="preserve"> поставке продукции и т.п. Частичное выполнение работ/услуг/поставок не допускается.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Дата и время начала подачи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Заявок: с момента публикации </w:t>
      </w:r>
      <w:r>
        <w:rPr>
          <w:sz w:val="24"/>
          <w:szCs w:val="24"/>
        </w:rPr>
        <w:t xml:space="preserve">Приглашения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yellow"/>
        </w:rPr>
        <w:t xml:space="preserve">до 16.09.</w:t>
      </w:r>
      <w:r>
        <w:rPr>
          <w:b/>
          <w:sz w:val="24"/>
          <w:szCs w:val="24"/>
          <w:highlight w:val="yellow"/>
        </w:rPr>
        <w:t xml:space="preserve">20</w:t>
      </w:r>
      <w:r>
        <w:rPr>
          <w:b/>
          <w:sz w:val="24"/>
          <w:szCs w:val="24"/>
          <w:highlight w:val="yellow"/>
        </w:rPr>
        <w:t xml:space="preserve">26</w:t>
      </w:r>
      <w:r>
        <w:rPr>
          <w:b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 xml:space="preserve">г. </w:t>
      </w:r>
      <w:r>
        <w:rPr>
          <w:b/>
          <w:sz w:val="24"/>
          <w:szCs w:val="24"/>
          <w:highlight w:val="yellow"/>
        </w:rPr>
        <w:t xml:space="preserve">09</w:t>
      </w:r>
      <w:r>
        <w:rPr>
          <w:b/>
          <w:sz w:val="24"/>
          <w:szCs w:val="24"/>
          <w:highlight w:val="yellow"/>
        </w:rPr>
        <w:t xml:space="preserve">:</w:t>
      </w:r>
      <w:r>
        <w:rPr>
          <w:b/>
          <w:sz w:val="24"/>
          <w:szCs w:val="24"/>
          <w:highlight w:val="yellow"/>
        </w:rPr>
        <w:t xml:space="preserve">00 </w:t>
      </w:r>
      <w:r>
        <w:rPr>
          <w:b/>
          <w:sz w:val="24"/>
          <w:szCs w:val="24"/>
          <w:highlight w:val="yellow"/>
        </w:rPr>
        <w:t xml:space="preserve">(время московское)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приема Заявок </w:t>
      </w:r>
      <w:r>
        <w:rPr>
          <w:sz w:val="24"/>
          <w:szCs w:val="24"/>
        </w:rPr>
        <w:t xml:space="preserve">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</w:rPr>
        <w:t xml:space="preserve">Заказчиком</w:t>
      </w:r>
      <w:r>
        <w:rPr>
          <w:sz w:val="24"/>
          <w:szCs w:val="24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5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Единственным критерием</w:t>
      </w:r>
      <w:r>
        <w:rPr>
          <w:rFonts w:ascii="Times New Roman" w:hAnsi="Times New Roman"/>
          <w:sz w:val="24"/>
          <w:szCs w:val="24"/>
          <w:lang w:val="ru-RU"/>
        </w:rPr>
        <w:t xml:space="preserve">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</w:t>
      </w:r>
      <w:r>
        <w:rPr>
          <w:rFonts w:ascii="Times New Roman" w:hAnsi="Times New Roman"/>
          <w:sz w:val="24"/>
          <w:szCs w:val="24"/>
          <w:lang w:val="ru-RU"/>
        </w:rPr>
        <w:t xml:space="preserve">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55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55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lang w:val="ru-RU"/>
        </w:rPr>
        <w:t xml:space="preserve"> положения действующего законодатель</w:t>
      </w:r>
      <w:r>
        <w:rPr>
          <w:rFonts w:ascii="Times New Roman" w:hAnsi="Times New Roman"/>
          <w:sz w:val="24"/>
          <w:szCs w:val="24"/>
          <w:lang w:val="ru-RU"/>
        </w:rPr>
        <w:t xml:space="preserve">ства, предусматривающие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ind w:firstLine="708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Отнесение участни</w:t>
      </w:r>
      <w:r>
        <w:rPr>
          <w:sz w:val="24"/>
          <w:szCs w:val="24"/>
          <w:highlight w:val="white"/>
        </w:rPr>
        <w:t xml:space="preserve">ка закупки к</w:t>
      </w:r>
      <w:r>
        <w:rPr>
          <w:sz w:val="24"/>
          <w:szCs w:val="24"/>
          <w:highlight w:val="white"/>
        </w:rPr>
        <w:t xml:space="preserve"> иностранному агенту производится на основании информации, содержащейся </w:t>
      </w:r>
      <w:r>
        <w:rPr>
          <w:sz w:val="24"/>
          <w:szCs w:val="24"/>
          <w:highlight w:val="white"/>
        </w:rPr>
        <w:t xml:space="preserve">в Реестре иностранных агентов, </w:t>
      </w:r>
      <w:r>
        <w:rPr>
          <w:sz w:val="24"/>
          <w:szCs w:val="24"/>
          <w:highlight w:val="white"/>
        </w:rPr>
        <w:t xml:space="preserve">размещенном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b/>
          <w:bCs/>
          <w:sz w:val="24"/>
          <w:szCs w:val="24"/>
          <w:highlight w:val="white"/>
        </w:rPr>
        <w:t xml:space="preserve">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0.1.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whit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whit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white"/>
        </w:rPr>
        <w:t xml:space="preserve"> </w:t>
      </w:r>
      <w:r>
        <w:rPr>
          <w:rFonts w:eastAsia="Calibri"/>
          <w:sz w:val="24"/>
          <w:szCs w:val="24"/>
          <w:highlight w:val="white"/>
        </w:rPr>
        <w:t xml:space="preserve">Приглашения </w:t>
      </w:r>
      <w:r>
        <w:rPr>
          <w:rFonts w:eastAsia="Calibri"/>
          <w:sz w:val="24"/>
          <w:szCs w:val="24"/>
          <w:highlight w:val="whit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white"/>
        </w:rPr>
        <w:t xml:space="preserve">я</w:t>
      </w:r>
      <w:r>
        <w:rPr>
          <w:rFonts w:eastAsia="Calibri"/>
          <w:sz w:val="24"/>
          <w:szCs w:val="24"/>
          <w:highlight w:val="whit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white"/>
        </w:rPr>
        <w:t xml:space="preserve">ромышленной политики в целях отнесения этой продукции к российской промышленной продукции.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 Предоставление национального режима при осуществлении закупок.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white"/>
        </w:rPr>
        <w:t xml:space="preserve">й</w:t>
      </w:r>
      <w:r>
        <w:rPr>
          <w:rFonts w:eastAsia="Calibri"/>
          <w:sz w:val="24"/>
          <w:szCs w:val="24"/>
          <w:highlight w:val="whit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whit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white"/>
        </w:rPr>
        <w:t xml:space="preserve">обязательную долю закупок товаров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20.2.2. Если иное не предусмотрено мерами, принятыми Правительством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white"/>
        </w:rPr>
        <w:t xml:space="preserve">м</w:t>
      </w:r>
      <w:r>
        <w:rPr>
          <w:rFonts w:eastAsia="Calibri"/>
          <w:sz w:val="24"/>
          <w:szCs w:val="24"/>
          <w:highlight w:val="whit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white"/>
        </w:rPr>
        <w:t xml:space="preserve">енно выполняемой, оказываемой российским лицом.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такого товара;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 и содержащие предложения о поставке товара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whit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white"/>
        </w:rPr>
        <w:t xml:space="preserve">тановлен данный запрет.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white"/>
        </w:rPr>
        <w:t xml:space="preserve">данное ограничение,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whit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white"/>
        </w:rPr>
        <w:t xml:space="preserve">П</w:t>
      </w:r>
      <w:r>
        <w:rPr>
          <w:rFonts w:eastAsia="Calibri"/>
          <w:sz w:val="24"/>
          <w:szCs w:val="24"/>
          <w:highlight w:val="white"/>
        </w:rPr>
        <w:t xml:space="preserve">р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г</w:t>
      </w:r>
      <w:r>
        <w:rPr>
          <w:rFonts w:eastAsia="Calibri"/>
          <w:sz w:val="24"/>
          <w:szCs w:val="24"/>
          <w:highlight w:val="white"/>
        </w:rPr>
        <w:t xml:space="preserve">л</w:t>
      </w: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ш</w:t>
      </w:r>
      <w:r>
        <w:rPr>
          <w:rFonts w:eastAsia="Calibri"/>
          <w:sz w:val="24"/>
          <w:szCs w:val="24"/>
          <w:highlight w:val="white"/>
        </w:rPr>
        <w:t xml:space="preserve">е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. 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Заказчик</w:t>
      </w:r>
      <w:r>
        <w:rPr>
          <w:rFonts w:eastAsia="Calibri"/>
          <w:sz w:val="24"/>
          <w:szCs w:val="24"/>
          <w:highlight w:val="white"/>
        </w:rPr>
        <w:t xml:space="preserve"> сравнения</w:t>
      </w:r>
      <w:r>
        <w:rPr>
          <w:rFonts w:eastAsia="Calibri"/>
          <w:sz w:val="24"/>
          <w:szCs w:val="24"/>
          <w:highlight w:val="white"/>
        </w:rPr>
        <w:t xml:space="preserve"> цен вправе отклонить </w:t>
      </w:r>
      <w:r>
        <w:rPr>
          <w:rFonts w:eastAsia="Calibri"/>
          <w:sz w:val="24"/>
          <w:szCs w:val="24"/>
          <w:highlight w:val="white"/>
        </w:rPr>
        <w:t xml:space="preserve">заявку</w:t>
      </w:r>
      <w:r>
        <w:rPr>
          <w:rFonts w:eastAsia="Calibri"/>
          <w:sz w:val="24"/>
          <w:szCs w:val="24"/>
          <w:highlight w:val="white"/>
        </w:rPr>
        <w:t xml:space="preserve"> участника на том основании, что предложенная участником </w:t>
      </w:r>
      <w:r>
        <w:rPr>
          <w:rFonts w:eastAsia="Calibri"/>
          <w:sz w:val="24"/>
          <w:szCs w:val="24"/>
          <w:highlight w:val="white"/>
        </w:rPr>
        <w:t xml:space="preserve">цена в </w:t>
      </w:r>
      <w:r>
        <w:rPr>
          <w:rFonts w:eastAsia="Calibri"/>
          <w:sz w:val="24"/>
          <w:szCs w:val="24"/>
          <w:highlight w:val="white"/>
        </w:rPr>
        <w:t xml:space="preserve">заявке</w:t>
      </w:r>
      <w:r>
        <w:rPr>
          <w:rFonts w:eastAsia="Calibri"/>
          <w:sz w:val="24"/>
          <w:szCs w:val="24"/>
          <w:highlight w:val="white"/>
        </w:rPr>
        <w:t xml:space="preserve"> не соответствует </w:t>
      </w:r>
      <w:r>
        <w:rPr>
          <w:rFonts w:eastAsia="Calibri"/>
          <w:sz w:val="24"/>
          <w:szCs w:val="24"/>
          <w:highlight w:val="white"/>
        </w:rPr>
        <w:t xml:space="preserve">цене на котировочной доске электронной системы </w:t>
      </w:r>
      <w:r>
        <w:rPr>
          <w:rFonts w:eastAsia="Calibri"/>
          <w:sz w:val="24"/>
          <w:szCs w:val="24"/>
          <w:highlight w:val="white"/>
        </w:rPr>
        <w:t xml:space="preserve">ЭТП</w:t>
      </w:r>
      <w:r>
        <w:rPr>
          <w:rFonts w:eastAsia="Calibri"/>
          <w:color w:val="000000" w:themeColor="text1"/>
          <w:sz w:val="24"/>
          <w:szCs w:val="24"/>
          <w:highlight w:val="white"/>
        </w:rPr>
        <w:t xml:space="preserve">.</w:t>
      </w:r>
      <w:bookmarkEnd w:id="2"/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 по </w:t>
      </w:r>
      <w:r>
        <w:rPr>
          <w:sz w:val="24"/>
          <w:szCs w:val="24"/>
          <w:highlight w:val="white"/>
        </w:rPr>
        <w:t xml:space="preserve">результатам</w:t>
      </w:r>
      <w:r>
        <w:rPr>
          <w:sz w:val="24"/>
          <w:szCs w:val="24"/>
          <w:highlight w:val="white"/>
        </w:rPr>
        <w:t xml:space="preserve"> закупки между Заказчиком </w:t>
      </w:r>
      <w:r>
        <w:rPr>
          <w:sz w:val="24"/>
          <w:szCs w:val="24"/>
          <w:highlight w:val="white"/>
        </w:rPr>
        <w:t xml:space="preserve">и </w:t>
      </w:r>
      <w:r>
        <w:rPr>
          <w:sz w:val="24"/>
          <w:szCs w:val="24"/>
          <w:highlight w:val="white"/>
        </w:rPr>
        <w:t xml:space="preserve">Участником</w:t>
      </w:r>
      <w:r>
        <w:rPr>
          <w:sz w:val="24"/>
          <w:szCs w:val="24"/>
          <w:highlight w:val="white"/>
        </w:rPr>
        <w:t xml:space="preserve">, представившим наилучшую </w:t>
      </w:r>
      <w:r>
        <w:rPr>
          <w:sz w:val="24"/>
          <w:szCs w:val="24"/>
          <w:highlight w:val="white"/>
        </w:rPr>
        <w:t xml:space="preserve">заявку,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будет заключен</w:t>
      </w:r>
      <w:r>
        <w:rPr>
          <w:sz w:val="24"/>
          <w:szCs w:val="24"/>
          <w:highlight w:val="white"/>
        </w:rPr>
        <w:t xml:space="preserve"> в течение </w:t>
      </w:r>
      <w:r>
        <w:rPr>
          <w:sz w:val="24"/>
          <w:szCs w:val="24"/>
          <w:highlight w:val="white"/>
        </w:rPr>
        <w:t xml:space="preserve">20 дней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white"/>
        </w:rPr>
        <w:t xml:space="preserve">Участник закупки, после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обязан предс</w:t>
      </w:r>
      <w:r>
        <w:rPr>
          <w:b/>
          <w:sz w:val="24"/>
          <w:szCs w:val="24"/>
        </w:rPr>
        <w:t xml:space="preserve">тавить справку о цепочке собственников участника закупочной </w:t>
      </w:r>
      <w:r>
        <w:rPr>
          <w:b/>
          <w:sz w:val="24"/>
          <w:szCs w:val="24"/>
        </w:rPr>
        <w:t xml:space="preserve">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победителя, и его действия (бездействия) означают</w:t>
      </w:r>
      <w:r>
        <w:rPr>
          <w:b/>
          <w:sz w:val="24"/>
          <w:szCs w:val="24"/>
        </w:rPr>
        <w:t xml:space="preserve">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</w:t>
      </w:r>
      <w:r>
        <w:rPr>
          <w:b/>
          <w:sz w:val="24"/>
          <w:szCs w:val="24"/>
        </w:rPr>
        <w:t xml:space="preserve">бенефициаров и т.п.</w:t>
      </w:r>
      <w:r>
        <w:rPr>
          <w:b/>
          <w:sz w:val="24"/>
          <w:szCs w:val="24"/>
        </w:rPr>
        <w:t xml:space="preserve">, а также Антикоррупционного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Основания, порядок и последствия</w:t>
      </w:r>
      <w:r>
        <w:rPr>
          <w:sz w:val="24"/>
          <w:szCs w:val="24"/>
        </w:rPr>
        <w:t xml:space="preserve"> признания закупки несостоявшейся установлены Единым стандартом закупок ПАО 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(Положение о закупке, Стандарт).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Для справок обращаться к </w:t>
      </w:r>
      <w:r>
        <w:rPr>
          <w:b/>
          <w:sz w:val="24"/>
          <w:szCs w:val="24"/>
        </w:rPr>
        <w:t xml:space="preserve">секретарю </w:t>
      </w:r>
      <w:r>
        <w:rPr>
          <w:b/>
          <w:sz w:val="24"/>
          <w:szCs w:val="24"/>
        </w:rPr>
        <w:t xml:space="preserve">– Лебедкиной </w:t>
      </w:r>
      <w:r>
        <w:rPr>
          <w:b/>
          <w:sz w:val="24"/>
          <w:szCs w:val="24"/>
        </w:rPr>
        <w:t xml:space="preserve">Анастасии Николаевне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25-16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1015"/>
          <w:b/>
          <w:bCs/>
          <w:sz w:val="24"/>
          <w:szCs w:val="24"/>
        </w:rPr>
        <w:t xml:space="preserve"> </w:t>
      </w:r>
      <w:r>
        <w:rPr>
          <w:rStyle w:val="1015"/>
          <w:b/>
          <w:bCs/>
          <w:sz w:val="24"/>
          <w:szCs w:val="24"/>
        </w:rPr>
        <w:t xml:space="preserve">L</w:t>
      </w:r>
      <w:r>
        <w:rPr>
          <w:rStyle w:val="1015"/>
          <w:b/>
          <w:bCs/>
          <w:sz w:val="24"/>
          <w:szCs w:val="24"/>
        </w:rPr>
        <w:t xml:space="preserve">e</w:t>
      </w:r>
      <w:r>
        <w:rPr>
          <w:rStyle w:val="1015"/>
          <w:b/>
          <w:bCs/>
          <w:sz w:val="24"/>
          <w:szCs w:val="24"/>
        </w:rPr>
        <w:t xml:space="preserve">b</w:t>
      </w:r>
      <w:r>
        <w:rPr>
          <w:rStyle w:val="1015"/>
          <w:b/>
          <w:bCs/>
          <w:sz w:val="24"/>
          <w:szCs w:val="24"/>
        </w:rPr>
        <w:t xml:space="preserve">e</w:t>
      </w:r>
      <w:r>
        <w:rPr>
          <w:rStyle w:val="1015"/>
          <w:b/>
          <w:bCs/>
          <w:sz w:val="24"/>
          <w:szCs w:val="24"/>
        </w:rPr>
        <w:t xml:space="preserve">d</w:t>
      </w:r>
      <w:r>
        <w:rPr>
          <w:rStyle w:val="1015"/>
          <w:b/>
          <w:bCs/>
          <w:sz w:val="24"/>
          <w:szCs w:val="24"/>
        </w:rPr>
        <w:t xml:space="preserve">k</w:t>
      </w:r>
      <w:r>
        <w:rPr>
          <w:rStyle w:val="1015"/>
          <w:b/>
          <w:bCs/>
          <w:sz w:val="24"/>
          <w:szCs w:val="24"/>
        </w:rPr>
        <w:t xml:space="preserve">i</w:t>
      </w:r>
      <w:r>
        <w:rPr>
          <w:rStyle w:val="1015"/>
          <w:b/>
          <w:bCs/>
          <w:sz w:val="24"/>
          <w:szCs w:val="24"/>
        </w:rPr>
        <w:t xml:space="preserve">n</w:t>
      </w:r>
      <w:r>
        <w:rPr>
          <w:rStyle w:val="1015"/>
          <w:b/>
          <w:bCs/>
          <w:sz w:val="24"/>
          <w:szCs w:val="24"/>
        </w:rPr>
        <w:t xml:space="preserve">a</w:t>
      </w:r>
      <w:r>
        <w:rPr>
          <w:rStyle w:val="1015"/>
          <w:b/>
          <w:bCs/>
          <w:sz w:val="24"/>
          <w:szCs w:val="24"/>
        </w:rPr>
        <w:t xml:space="preserve">-</w:t>
      </w:r>
      <w:r>
        <w:rPr>
          <w:rStyle w:val="1015"/>
          <w:b/>
          <w:bCs/>
          <w:sz w:val="24"/>
          <w:szCs w:val="24"/>
        </w:rPr>
        <w:t xml:space="preserve">A</w:t>
      </w:r>
      <w:r>
        <w:rPr>
          <w:rStyle w:val="1015"/>
          <w:b/>
          <w:bCs/>
          <w:sz w:val="24"/>
          <w:szCs w:val="24"/>
        </w:rPr>
        <w:t xml:space="preserve">N</w:t>
      </w:r>
      <w:hyperlink r:id="rId15" w:tooltip="mailto:Lebedkina-AN@rosseti-ural.ru" w:history="1">
        <w:r>
          <w:rPr>
            <w:rStyle w:val="1015"/>
            <w:b/>
            <w:sz w:val="24"/>
            <w:szCs w:val="24"/>
          </w:rPr>
          <w:t xml:space="preserve">@rosseti-ural.ru</w:t>
        </w:r>
        <w:r>
          <w:rPr>
            <w:rStyle w:val="1015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6" w:tooltip="mailto:Ronzhin-AV@rosseti-ural.ru" w:history="1">
        <w:r>
          <w:rPr>
            <w:rStyle w:val="1015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</w:t>
      </w:r>
      <w:r>
        <w:rPr>
          <w:sz w:val="24"/>
          <w:szCs w:val="24"/>
        </w:rPr>
        <w:t xml:space="preserve">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  <w:highlight w:val="none"/>
        </w:rPr>
      </w:pPr>
      <w:r/>
      <w:bookmarkStart w:id="6" w:name="_Toc69729056"/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28. </w:t>
      </w:r>
      <w:r>
        <w:rPr>
          <w:sz w:val="24"/>
          <w:szCs w:val="24"/>
          <w:highlight w:val="white"/>
        </w:rPr>
        <w:t xml:space="preserve">З</w:t>
      </w:r>
      <w:r>
        <w:rPr>
          <w:sz w:val="24"/>
          <w:szCs w:val="24"/>
          <w:highlight w:val="white"/>
        </w:rPr>
        <w:t xml:space="preserve">аказчик информирует участников закупки о том, что в ПАО «Россети Урал» утвержден Кодекс поставщика ПАО «Россети Урал» (далее – Кодекс), которым установлены базовые рекомендации для участников закупки в части корпоративной и социальной ответственности. Напр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вление заявки на участие в закупочной процедуре означает, что участник ознакомлен с положениями Кодекса. Кодекс имеет рекомендательный характер для поставщиков ПАО «Россети Урал» в части применения ими в своей деятельности изложенных в Кодексе принципов и </w:t>
      </w:r>
      <w:r>
        <w:rPr>
          <w:sz w:val="24"/>
          <w:szCs w:val="24"/>
          <w:highlight w:val="white"/>
        </w:rPr>
        <w:t xml:space="preserve">подходов.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720" w:gutter="0"/>
          <w:pgNumType w:start="1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  <w:t xml:space="preserve">Заявка </w:t>
      </w:r>
      <w:r>
        <w:rPr>
          <w:b/>
        </w:rPr>
        <w:t xml:space="preserve">на </w:t>
      </w:r>
      <w:r>
        <w:rPr>
          <w:b/>
        </w:rPr>
        <w:t xml:space="preserve">участие в закупке способом сравнения цен в </w:t>
      </w:r>
      <w:r>
        <w:rPr>
          <w:b/>
        </w:rPr>
        <w:t xml:space="preserve">электронной форме</w:t>
      </w:r>
      <w:r>
        <w:rPr>
          <w:b/>
        </w:rPr>
      </w:r>
      <w:r>
        <w:rPr>
          <w:b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  <w:highlight w:val="yellow"/>
        </w:rPr>
        <w:t xml:space="preserve">___.___.</w:t>
      </w:r>
      <w:r>
        <w:rPr>
          <w:b/>
          <w:sz w:val="24"/>
          <w:szCs w:val="24"/>
          <w:highlight w:val="yellow"/>
        </w:rPr>
        <w:t xml:space="preserve">202__</w:t>
      </w:r>
      <w:r>
        <w:rPr>
          <w:b/>
          <w:sz w:val="24"/>
          <w:szCs w:val="24"/>
          <w:highlight w:val="yellow"/>
        </w:rPr>
        <w:t xml:space="preserve"> </w:t>
      </w:r>
      <w:r>
        <w:rPr>
          <w:b/>
          <w:sz w:val="24"/>
          <w:szCs w:val="24"/>
          <w:highlight w:val="yellow"/>
        </w:rPr>
        <w:t xml:space="preserve">г</w:t>
      </w:r>
      <w:r>
        <w:rPr>
          <w:sz w:val="24"/>
          <w:szCs w:val="24"/>
          <w:highlight w:val="yellow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ЭТП</w:t>
      </w:r>
      <w:r>
        <w:rPr>
          <w:color w:val="000000" w:themeColor="text1"/>
          <w:sz w:val="24"/>
          <w:szCs w:val="24"/>
        </w:rPr>
        <w:t xml:space="preserve"> </w:t>
      </w:r>
      <w:hyperlink r:id="rId17" w:tooltip="https://tender.lot-online.ru" w:history="1">
        <w:r>
          <w:rPr>
            <w:rStyle w:val="1015"/>
            <w:b/>
            <w:sz w:val="24"/>
            <w:highlight w:val="yellow"/>
          </w:rPr>
          <w:t xml:space="preserve">https://</w:t>
        </w:r>
        <w:r>
          <w:rPr>
            <w:rStyle w:val="1015"/>
            <w:b/>
            <w:sz w:val="24"/>
            <w:highlight w:val="yellow"/>
            <w:lang w:val="en-US"/>
          </w:rPr>
          <w:t xml:space="preserve">tender</w:t>
        </w:r>
        <w:r>
          <w:rPr>
            <w:rStyle w:val="1015"/>
            <w:b/>
            <w:sz w:val="24"/>
            <w:highlight w:val="yellow"/>
          </w:rPr>
          <w:t xml:space="preserve">.</w:t>
        </w:r>
        <w:r>
          <w:rPr>
            <w:rStyle w:val="1015"/>
            <w:b/>
            <w:sz w:val="24"/>
            <w:highlight w:val="yellow"/>
            <w:lang w:val="en-US"/>
          </w:rPr>
          <w:t xml:space="preserve">lot</w:t>
        </w:r>
        <w:r>
          <w:rPr>
            <w:rStyle w:val="1015"/>
            <w:b/>
            <w:sz w:val="24"/>
            <w:highlight w:val="yellow"/>
          </w:rPr>
          <w:t xml:space="preserve">-</w:t>
        </w:r>
        <w:r>
          <w:rPr>
            <w:rStyle w:val="1015"/>
            <w:b/>
            <w:sz w:val="24"/>
            <w:highlight w:val="yellow"/>
            <w:lang w:val="en-US"/>
          </w:rPr>
          <w:t xml:space="preserve">online</w:t>
        </w:r>
        <w:r>
          <w:rPr>
            <w:rStyle w:val="1015"/>
            <w:b/>
            <w:sz w:val="24"/>
            <w:highlight w:val="yellow"/>
          </w:rPr>
          <w:t xml:space="preserve">.</w:t>
        </w:r>
        <w:r>
          <w:rPr>
            <w:rStyle w:val="1015"/>
            <w:b/>
            <w:sz w:val="24"/>
            <w:highlight w:val="yellow"/>
          </w:rPr>
          <w:t xml:space="preserve">ru</w:t>
        </w:r>
      </w:hyperlink>
      <w:r>
        <w:rPr>
          <w:color w:val="000000" w:themeColor="text1"/>
          <w:sz w:val="24"/>
          <w:szCs w:val="24"/>
          <w:highlight w:val="yellow"/>
        </w:rPr>
        <w:t xml:space="preserve">,</w:t>
      </w:r>
      <w:r>
        <w:rPr>
          <w:color w:val="000000" w:themeColor="text1"/>
          <w:sz w:val="24"/>
          <w:szCs w:val="24"/>
        </w:rPr>
        <w:t xml:space="preserve"> извещение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b/>
          <w:sz w:val="24"/>
          <w:szCs w:val="24"/>
          <w:highlight w:val="yellow"/>
        </w:rPr>
        <w:t xml:space="preserve">______________</w:t>
      </w:r>
      <w:r>
        <w:rPr>
          <w:color w:val="000000" w:themeColor="text1"/>
          <w:sz w:val="24"/>
          <w:szCs w:val="24"/>
        </w:rPr>
        <w:t xml:space="preserve">,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highlight w:val="yellow"/>
        </w:rPr>
        <w:t xml:space="preserve">_____________________(</w:t>
      </w:r>
      <w:r>
        <w:rPr>
          <w:b/>
          <w:bCs/>
          <w:i/>
          <w:iCs/>
          <w:sz w:val="24"/>
          <w:szCs w:val="24"/>
          <w:highlight w:val="yellow"/>
        </w:rPr>
        <w:t xml:space="preserve">указывается </w:t>
      </w:r>
      <w:r>
        <w:rPr>
          <w:b/>
          <w:bCs/>
          <w:i/>
          <w:iCs/>
          <w:sz w:val="24"/>
          <w:szCs w:val="24"/>
          <w:highlight w:val="yellow"/>
        </w:rPr>
        <w:t xml:space="preserve">предмет закупки</w:t>
      </w:r>
      <w:r>
        <w:rPr>
          <w:b/>
          <w:sz w:val="24"/>
          <w:szCs w:val="24"/>
          <w:highlight w:val="yellow"/>
        </w:rPr>
        <w:t xml:space="preserve">), </w:t>
      </w:r>
      <w:r>
        <w:rPr>
          <w:color w:val="000000" w:themeColor="text1"/>
          <w:sz w:val="24"/>
          <w:szCs w:val="24"/>
        </w:rPr>
        <w:t xml:space="preserve">_____________________(</w:t>
      </w:r>
      <w:r>
        <w:rPr>
          <w:rStyle w:val="1066"/>
        </w:rPr>
        <w:t xml:space="preserve">у</w:t>
      </w:r>
      <w:r>
        <w:rPr>
          <w:rStyle w:val="1066"/>
        </w:rPr>
        <w:t xml:space="preserve">казывается</w:t>
      </w:r>
      <w:r>
        <w:rPr>
          <w:rStyle w:val="1066"/>
        </w:rPr>
        <w:t xml:space="preserve"> </w:t>
      </w:r>
      <w:r>
        <w:rPr>
          <w:rStyle w:val="1066"/>
        </w:rPr>
        <w:t xml:space="preserve">полное наименование Участника закупки с указанием организационно-правовой формы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соо</w:t>
      </w:r>
      <w:r>
        <w:rPr>
          <w:sz w:val="24"/>
          <w:szCs w:val="24"/>
        </w:rPr>
        <w:t xml:space="preserve">бщае</w:t>
      </w:r>
      <w:r>
        <w:rPr>
          <w:sz w:val="24"/>
          <w:szCs w:val="24"/>
        </w:rPr>
        <w:t xml:space="preserve">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</w:t>
      </w:r>
      <w:bookmarkEnd w:id="6"/>
      <w:r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на сумму: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066"/>
                <w:sz w:val="20"/>
                <w:szCs w:val="20"/>
              </w:rPr>
              <w:t xml:space="preserve">(</w:t>
            </w:r>
            <w:r>
              <w:rPr>
                <w:rStyle w:val="1066"/>
                <w:sz w:val="20"/>
                <w:szCs w:val="20"/>
              </w:rPr>
              <w:t xml:space="preserve">заполнить поле</w:t>
            </w:r>
            <w:r>
              <w:rPr>
                <w:rStyle w:val="1066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066"/>
                <w:sz w:val="20"/>
                <w:szCs w:val="20"/>
              </w:rPr>
              <w:t xml:space="preserve">(</w:t>
            </w:r>
            <w:r>
              <w:rPr>
                <w:rStyle w:val="1066"/>
                <w:sz w:val="20"/>
                <w:szCs w:val="20"/>
              </w:rPr>
              <w:t xml:space="preserve">заполнить поле</w:t>
            </w:r>
            <w:r>
              <w:rPr>
                <w:rStyle w:val="1066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066"/>
                <w:sz w:val="20"/>
                <w:szCs w:val="20"/>
              </w:rPr>
              <w:t xml:space="preserve">(</w:t>
            </w:r>
            <w:r>
              <w:rPr>
                <w:rStyle w:val="1066"/>
                <w:sz w:val="20"/>
                <w:szCs w:val="20"/>
              </w:rPr>
              <w:t xml:space="preserve">заполнить поле</w:t>
            </w:r>
            <w:r>
              <w:rPr>
                <w:rStyle w:val="1066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НДС, в руб.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ставки НДС, в %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ind w:firstLine="0"/>
        <w:jc w:val="center"/>
        <w:widowControl w:val="off"/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[Сведения о цене указываются</w:t>
      </w:r>
      <w:r>
        <w:rPr>
          <w:sz w:val="24"/>
          <w:szCs w:val="24"/>
          <w:highlight w:val="yellow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50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</w:t>
      </w:r>
      <w:r>
        <w:rPr>
          <w:sz w:val="24"/>
          <w:szCs w:val="24"/>
        </w:rPr>
        <w:tab/>
        <w:t xml:space="preserve">Факс: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ab/>
        <w:t xml:space="preserve">/КПП: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Р/счет:</w:t>
      </w:r>
      <w:r>
        <w:rPr>
          <w:sz w:val="24"/>
          <w:szCs w:val="24"/>
        </w:rPr>
        <w:tab/>
        <w:t xml:space="preserve">в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К/счет: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Наименование должности руководителя участника)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личная подпись)</w:t>
      </w:r>
      <w:r>
        <w:rPr>
          <w:sz w:val="24"/>
          <w:szCs w:val="24"/>
        </w:rPr>
        <w:t xml:space="preserve">/(</w:t>
      </w:r>
      <w:r>
        <w:rPr>
          <w:i/>
          <w:sz w:val="24"/>
          <w:szCs w:val="24"/>
        </w:rPr>
        <w:t xml:space="preserve">расшифровка подписи)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М.П.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720" w:gutter="0"/>
          <w:pgNumType w:start="6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055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lang w:eastAsia="ar-SA"/>
              </w:rPr>
            </w:r>
            <w:r>
              <w:rPr>
                <w:b/>
                <w:bCs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s0" type="#_x0000_t75" style="width:620.25pt;height:438.75pt;mso-wrap-distance-left:0.00pt;mso-wrap-distance-top:0.00pt;mso-wrap-distance-right:0.00pt;mso-wrap-distance-bottom:0.00pt;z-index:1;" filled="f" stroked="f">
            <v:imagedata r:id="rId18" o:title=""/>
            <o:lock v:ext="edit" rotation="t"/>
          </v:shape>
          <o:OLEObject DrawAspect="Content" r:id="rId19" ObjectID="_1525040" ProgID="Acrobat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68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68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</w:t>
      </w:r>
      <w:r>
        <w:rPr>
          <w:b/>
          <w:bCs/>
          <w:sz w:val="24"/>
          <w:szCs w:val="24"/>
        </w:rPr>
        <w:t xml:space="preserve">Россети</w:t>
      </w:r>
      <w:r>
        <w:rPr>
          <w:b/>
          <w:bCs/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 (ПАО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</w:t>
      </w:r>
      <w:r>
        <w:rPr>
          <w:sz w:val="24"/>
          <w:szCs w:val="24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</w:t>
      </w:r>
      <w:r>
        <w:rPr>
          <w:spacing w:val="-4"/>
          <w:sz w:val="24"/>
          <w:szCs w:val="24"/>
        </w:rPr>
        <w:t xml:space="preserve">Россети</w:t>
      </w:r>
      <w:r>
        <w:rPr>
          <w:spacing w:val="-4"/>
          <w:sz w:val="24"/>
          <w:szCs w:val="24"/>
        </w:rPr>
        <w:t xml:space="preserve">»,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</w:t>
      </w:r>
      <w:r>
        <w:rPr>
          <w:color w:val="000000"/>
          <w:sz w:val="24"/>
          <w:szCs w:val="24"/>
        </w:rPr>
        <w:t xml:space="preserve">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и дочерних обществ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утвержденной решением Совета директоров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»/ДО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</w:t>
      </w:r>
      <w:r>
        <w:rPr>
          <w:b/>
          <w:i/>
          <w:iCs/>
          <w:color w:val="000000"/>
          <w:sz w:val="24"/>
          <w:szCs w:val="24"/>
        </w:rPr>
        <w:t xml:space="preserve">Россети</w:t>
      </w:r>
      <w:r>
        <w:rPr>
          <w:b/>
          <w:i/>
          <w:iCs/>
          <w:color w:val="000000"/>
          <w:sz w:val="24"/>
          <w:szCs w:val="24"/>
        </w:rPr>
        <w:t xml:space="preserve">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20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1" w:tooltip="https://www.mrsk-ural.ru/company/anticorruption/" w:history="1">
        <w:r>
          <w:rPr>
            <w:rStyle w:val="1015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3"/>
      <w:jc w:val="center"/>
    </w:pPr>
    <w:fldSimple w:instr="PAGE \* MERGEFORMAT">
      <w:r>
        <w:t xml:space="preserve">1</w:t>
      </w:r>
    </w:fldSimple>
    <w:r/>
    <w:r/>
  </w:p>
  <w:p>
    <w:pPr>
      <w:pStyle w:val="1013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3"/>
      <w:jc w:val="center"/>
    </w:pPr>
    <w:fldSimple w:instr="PAGE \* MERGEFORMAT">
      <w:r>
        <w:t xml:space="preserve">1</w:t>
      </w:r>
    </w:fldSimple>
    <w:r/>
    <w:r/>
  </w:p>
  <w:p>
    <w:pPr>
      <w:pStyle w:val="1013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3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9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992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993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994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995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996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42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989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990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991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979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79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39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39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699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059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05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419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7"/>
  </w:num>
  <w:num w:numId="9">
    <w:abstractNumId w:val="15"/>
  </w:num>
  <w:num w:numId="10">
    <w:abstractNumId w:val="2"/>
  </w:num>
  <w:num w:numId="11">
    <w:abstractNumId w:val="20"/>
  </w:num>
  <w:num w:numId="12">
    <w:abstractNumId w:val="21"/>
  </w:num>
  <w:num w:numId="13">
    <w:abstractNumId w:val="4"/>
  </w:num>
  <w:num w:numId="14">
    <w:abstractNumId w:val="10"/>
  </w:num>
  <w:num w:numId="15">
    <w:abstractNumId w:val="6"/>
  </w:num>
  <w:num w:numId="16">
    <w:abstractNumId w:val="12"/>
  </w:num>
  <w:num w:numId="17">
    <w:abstractNumId w:val="13"/>
  </w:num>
  <w:num w:numId="18">
    <w:abstractNumId w:val="5"/>
  </w:num>
  <w:num w:numId="19">
    <w:abstractNumId w:val="19"/>
  </w:num>
  <w:num w:numId="20">
    <w:abstractNumId w:val="8"/>
  </w:num>
  <w:num w:numId="21">
    <w:abstractNumId w:val="22"/>
  </w:num>
  <w:num w:numId="22">
    <w:abstractNumId w:val="23"/>
  </w:num>
  <w:num w:numId="23">
    <w:abstractNumId w:val="14"/>
  </w:num>
  <w:num w:numId="24">
    <w:abstractNumId w:val="18"/>
  </w:num>
  <w:num w:numId="25">
    <w:abstractNumId w:val="11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38">
    <w:name w:val="Heading 1 Char"/>
    <w:basedOn w:val="997"/>
    <w:link w:val="988"/>
    <w:uiPriority w:val="9"/>
    <w:rPr>
      <w:rFonts w:ascii="Arial" w:hAnsi="Arial" w:eastAsia="Arial" w:cs="Arial"/>
      <w:sz w:val="40"/>
      <w:szCs w:val="40"/>
    </w:rPr>
  </w:style>
  <w:style w:type="character" w:styleId="839">
    <w:name w:val="Heading 2 Char"/>
    <w:basedOn w:val="997"/>
    <w:link w:val="989"/>
    <w:uiPriority w:val="9"/>
    <w:rPr>
      <w:rFonts w:ascii="Arial" w:hAnsi="Arial" w:eastAsia="Arial" w:cs="Arial"/>
      <w:sz w:val="34"/>
    </w:rPr>
  </w:style>
  <w:style w:type="character" w:styleId="840">
    <w:name w:val="Heading 3 Char"/>
    <w:basedOn w:val="997"/>
    <w:link w:val="990"/>
    <w:uiPriority w:val="9"/>
    <w:rPr>
      <w:rFonts w:ascii="Arial" w:hAnsi="Arial" w:eastAsia="Arial" w:cs="Arial"/>
      <w:sz w:val="30"/>
      <w:szCs w:val="30"/>
    </w:rPr>
  </w:style>
  <w:style w:type="character" w:styleId="841">
    <w:name w:val="Heading 4 Char"/>
    <w:basedOn w:val="997"/>
    <w:link w:val="991"/>
    <w:uiPriority w:val="9"/>
    <w:rPr>
      <w:rFonts w:ascii="Arial" w:hAnsi="Arial" w:eastAsia="Arial" w:cs="Arial"/>
      <w:b/>
      <w:bCs/>
      <w:sz w:val="26"/>
      <w:szCs w:val="26"/>
    </w:rPr>
  </w:style>
  <w:style w:type="character" w:styleId="842">
    <w:name w:val="Heading 5 Char"/>
    <w:basedOn w:val="997"/>
    <w:link w:val="992"/>
    <w:uiPriority w:val="9"/>
    <w:rPr>
      <w:rFonts w:ascii="Arial" w:hAnsi="Arial" w:eastAsia="Arial" w:cs="Arial"/>
      <w:b/>
      <w:bCs/>
      <w:sz w:val="24"/>
      <w:szCs w:val="24"/>
    </w:rPr>
  </w:style>
  <w:style w:type="character" w:styleId="843">
    <w:name w:val="Heading 6 Char"/>
    <w:basedOn w:val="997"/>
    <w:link w:val="993"/>
    <w:uiPriority w:val="9"/>
    <w:rPr>
      <w:rFonts w:ascii="Arial" w:hAnsi="Arial" w:eastAsia="Arial" w:cs="Arial"/>
      <w:b/>
      <w:bCs/>
      <w:sz w:val="22"/>
      <w:szCs w:val="22"/>
    </w:rPr>
  </w:style>
  <w:style w:type="character" w:styleId="844">
    <w:name w:val="Heading 7 Char"/>
    <w:basedOn w:val="997"/>
    <w:link w:val="9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45">
    <w:name w:val="Heading 8 Char"/>
    <w:basedOn w:val="997"/>
    <w:link w:val="995"/>
    <w:uiPriority w:val="9"/>
    <w:rPr>
      <w:rFonts w:ascii="Arial" w:hAnsi="Arial" w:eastAsia="Arial" w:cs="Arial"/>
      <w:i/>
      <w:iCs/>
      <w:sz w:val="22"/>
      <w:szCs w:val="22"/>
    </w:rPr>
  </w:style>
  <w:style w:type="character" w:styleId="846">
    <w:name w:val="Heading 9 Char"/>
    <w:basedOn w:val="997"/>
    <w:link w:val="996"/>
    <w:uiPriority w:val="9"/>
    <w:rPr>
      <w:rFonts w:ascii="Arial" w:hAnsi="Arial" w:eastAsia="Arial" w:cs="Arial"/>
      <w:i/>
      <w:iCs/>
      <w:sz w:val="21"/>
      <w:szCs w:val="21"/>
    </w:rPr>
  </w:style>
  <w:style w:type="character" w:styleId="847">
    <w:name w:val="Title Char"/>
    <w:basedOn w:val="997"/>
    <w:link w:val="1059"/>
    <w:uiPriority w:val="10"/>
    <w:rPr>
      <w:sz w:val="48"/>
      <w:szCs w:val="48"/>
    </w:rPr>
  </w:style>
  <w:style w:type="paragraph" w:styleId="848">
    <w:name w:val="Subtitle"/>
    <w:basedOn w:val="987"/>
    <w:next w:val="987"/>
    <w:link w:val="849"/>
    <w:uiPriority w:val="11"/>
    <w:qFormat/>
    <w:pPr>
      <w:spacing w:before="200" w:after="200"/>
    </w:pPr>
    <w:rPr>
      <w:sz w:val="24"/>
      <w:szCs w:val="24"/>
    </w:rPr>
  </w:style>
  <w:style w:type="character" w:styleId="849">
    <w:name w:val="Subtitle Char"/>
    <w:basedOn w:val="997"/>
    <w:link w:val="848"/>
    <w:uiPriority w:val="11"/>
    <w:rPr>
      <w:sz w:val="24"/>
      <w:szCs w:val="24"/>
    </w:rPr>
  </w:style>
  <w:style w:type="paragraph" w:styleId="850">
    <w:name w:val="Quote"/>
    <w:basedOn w:val="987"/>
    <w:next w:val="987"/>
    <w:link w:val="851"/>
    <w:uiPriority w:val="29"/>
    <w:qFormat/>
    <w:pPr>
      <w:ind w:left="720" w:right="720"/>
    </w:pPr>
    <w:rPr>
      <w:i/>
    </w:rPr>
  </w:style>
  <w:style w:type="character" w:styleId="851">
    <w:name w:val="Quote Char"/>
    <w:link w:val="850"/>
    <w:uiPriority w:val="29"/>
    <w:rPr>
      <w:i/>
    </w:rPr>
  </w:style>
  <w:style w:type="paragraph" w:styleId="852">
    <w:name w:val="Intense Quote"/>
    <w:basedOn w:val="987"/>
    <w:next w:val="987"/>
    <w:link w:val="85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3">
    <w:name w:val="Intense Quote Char"/>
    <w:link w:val="852"/>
    <w:uiPriority w:val="30"/>
    <w:rPr>
      <w:i/>
    </w:rPr>
  </w:style>
  <w:style w:type="character" w:styleId="854">
    <w:name w:val="Header Char"/>
    <w:basedOn w:val="997"/>
    <w:link w:val="1011"/>
    <w:uiPriority w:val="99"/>
  </w:style>
  <w:style w:type="character" w:styleId="855">
    <w:name w:val="Footer Char"/>
    <w:basedOn w:val="997"/>
    <w:link w:val="1013"/>
    <w:uiPriority w:val="99"/>
  </w:style>
  <w:style w:type="character" w:styleId="856">
    <w:name w:val="Caption Char"/>
    <w:basedOn w:val="997"/>
    <w:link w:val="1029"/>
    <w:uiPriority w:val="35"/>
    <w:rPr>
      <w:b/>
      <w:bCs/>
      <w:color w:val="4f81bd" w:themeColor="accent1"/>
      <w:sz w:val="18"/>
      <w:szCs w:val="18"/>
    </w:rPr>
  </w:style>
  <w:style w:type="table" w:styleId="857">
    <w:name w:val="Table Grid"/>
    <w:basedOn w:val="99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8">
    <w:name w:val="Table Grid Light"/>
    <w:basedOn w:val="99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9">
    <w:name w:val="Plain Table 1"/>
    <w:basedOn w:val="99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0">
    <w:name w:val="Plain Table 2"/>
    <w:basedOn w:val="99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1">
    <w:name w:val="Plain Table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2">
    <w:name w:val="Plain Table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Plain Table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4">
    <w:name w:val="Grid Table 1 Light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Grid Table 1 Light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Grid Table 1 Light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Grid Table 1 Light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Grid Table 1 Light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Grid Table 1 Light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Grid Table 1 Light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Grid Table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2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2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2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2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2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2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3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3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3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3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3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3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4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6">
    <w:name w:val="Grid Table 4 - Accent 1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7">
    <w:name w:val="Grid Table 4 - Accent 2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8">
    <w:name w:val="Grid Table 4 - Accent 3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89">
    <w:name w:val="Grid Table 4 - Accent 4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90">
    <w:name w:val="Grid Table 4 - Accent 5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91">
    <w:name w:val="Grid Table 4 - Accent 6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92">
    <w:name w:val="Grid Table 5 Dark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93">
    <w:name w:val="Grid Table 5 Dark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94">
    <w:name w:val="Grid Table 5 Dark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95">
    <w:name w:val="Grid Table 5 Dark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96">
    <w:name w:val="Grid Table 5 Dark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7">
    <w:name w:val="Grid Table 5 Dark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8">
    <w:name w:val="Grid Table 5 Dark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9">
    <w:name w:val="Grid Table 6 Colorful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0">
    <w:name w:val="Grid Table 6 Colorful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1">
    <w:name w:val="Grid Table 6 Colorful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02">
    <w:name w:val="Grid Table 6 Colorful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03">
    <w:name w:val="Grid Table 6 Colorful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04">
    <w:name w:val="Grid Table 6 Colorful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5">
    <w:name w:val="Grid Table 6 Colorful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6">
    <w:name w:val="Grid Table 7 Colorful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7 Colorful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7 Colorful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Grid Table 7 Colorful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7 Colorful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Grid Table 7 Colorful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Grid Table 7 Colorful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List Table 1 Light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1 Light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List Table 1 Light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List Table 1 Light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List Table 1 Light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List Table 1 Light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List Table 1 Light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List Table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21">
    <w:name w:val="List Table 2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22">
    <w:name w:val="List Table 2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23">
    <w:name w:val="List Table 2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24">
    <w:name w:val="List Table 2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25">
    <w:name w:val="List Table 2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6">
    <w:name w:val="List Table 2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7">
    <w:name w:val="List Table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3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3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3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3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3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3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4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4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List Table 4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List Table 4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List Table 4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List Table 4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List Table 5 Dark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2">
    <w:name w:val="List Table 5 Dark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3">
    <w:name w:val="List Table 5 Dark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4">
    <w:name w:val="List Table 5 Dark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5">
    <w:name w:val="List Table 5 Dark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6">
    <w:name w:val="List Table 5 Dark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7">
    <w:name w:val="List Table 5 Dark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8">
    <w:name w:val="List Table 6 Colorful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49">
    <w:name w:val="List Table 6 Colorful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50">
    <w:name w:val="List Table 6 Colorful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51">
    <w:name w:val="List Table 6 Colorful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52">
    <w:name w:val="List Table 6 Colorful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53">
    <w:name w:val="List Table 6 Colorful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54">
    <w:name w:val="List Table 6 Colorful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55">
    <w:name w:val="List Table 7 Colorful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6">
    <w:name w:val="List Table 7 Colorful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57">
    <w:name w:val="List Table 7 Colorful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58">
    <w:name w:val="List Table 7 Colorful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59">
    <w:name w:val="List Table 7 Colorful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60">
    <w:name w:val="List Table 7 Colorful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61">
    <w:name w:val="List Table 7 Colorful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62">
    <w:name w:val="Lined - Accent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3">
    <w:name w:val="Lined - Accent 1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4">
    <w:name w:val="Lined - Accent 2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5">
    <w:name w:val="Lined - Accent 3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6">
    <w:name w:val="Lined - Accent 4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7">
    <w:name w:val="Lined - Accent 5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8">
    <w:name w:val="Lined - Accent 6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69">
    <w:name w:val="Bordered &amp; Lined - Accent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0">
    <w:name w:val="Bordered &amp; Lined - Accent 1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71">
    <w:name w:val="Bordered &amp; Lined - Accent 2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72">
    <w:name w:val="Bordered &amp; Lined - Accent 3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73">
    <w:name w:val="Bordered &amp; Lined - Accent 4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74">
    <w:name w:val="Bordered &amp; Lined - Accent 5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75">
    <w:name w:val="Bordered &amp; Lined - Accent 6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6">
    <w:name w:val="Bordered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7">
    <w:name w:val="Bordered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8">
    <w:name w:val="Bordered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79">
    <w:name w:val="Bordered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80">
    <w:name w:val="Bordered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81">
    <w:name w:val="Bordered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82">
    <w:name w:val="Bordered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83">
    <w:name w:val="Footnote Text Char"/>
    <w:link w:val="1026"/>
    <w:uiPriority w:val="99"/>
    <w:rPr>
      <w:sz w:val="18"/>
    </w:rPr>
  </w:style>
  <w:style w:type="character" w:styleId="984">
    <w:name w:val="Endnote Text Char"/>
    <w:link w:val="1063"/>
    <w:uiPriority w:val="99"/>
    <w:rPr>
      <w:sz w:val="20"/>
    </w:rPr>
  </w:style>
  <w:style w:type="paragraph" w:styleId="985">
    <w:name w:val="TOC Heading"/>
    <w:uiPriority w:val="39"/>
    <w:unhideWhenUsed/>
  </w:style>
  <w:style w:type="paragraph" w:styleId="986">
    <w:name w:val="table of figures"/>
    <w:basedOn w:val="987"/>
    <w:next w:val="987"/>
    <w:uiPriority w:val="99"/>
    <w:unhideWhenUsed/>
    <w:pPr>
      <w:spacing w:after="0" w:afterAutospacing="0"/>
    </w:pPr>
  </w:style>
  <w:style w:type="paragraph" w:styleId="987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88">
    <w:name w:val="Heading 1"/>
    <w:basedOn w:val="987"/>
    <w:next w:val="987"/>
    <w:link w:val="1000"/>
    <w:uiPriority w:val="9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989">
    <w:name w:val="Heading 2"/>
    <w:basedOn w:val="987"/>
    <w:next w:val="987"/>
    <w:link w:val="1001"/>
    <w:uiPriority w:val="9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990">
    <w:name w:val="Heading 3"/>
    <w:basedOn w:val="987"/>
    <w:next w:val="987"/>
    <w:link w:val="1002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991">
    <w:name w:val="Heading 4"/>
    <w:basedOn w:val="987"/>
    <w:next w:val="987"/>
    <w:link w:val="1003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992">
    <w:name w:val="Heading 5"/>
    <w:basedOn w:val="987"/>
    <w:next w:val="987"/>
    <w:link w:val="1004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93">
    <w:name w:val="Heading 6"/>
    <w:basedOn w:val="987"/>
    <w:next w:val="987"/>
    <w:link w:val="1005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994">
    <w:name w:val="Heading 7"/>
    <w:basedOn w:val="987"/>
    <w:next w:val="987"/>
    <w:link w:val="1006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995">
    <w:name w:val="Heading 8"/>
    <w:basedOn w:val="987"/>
    <w:next w:val="987"/>
    <w:link w:val="1007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996">
    <w:name w:val="Heading 9"/>
    <w:basedOn w:val="987"/>
    <w:next w:val="987"/>
    <w:link w:val="1008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997" w:default="1">
    <w:name w:val="Default Paragraph Font"/>
    <w:uiPriority w:val="1"/>
    <w:semiHidden/>
    <w:unhideWhenUsed/>
  </w:style>
  <w:style w:type="table" w:styleId="99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99" w:default="1">
    <w:name w:val="No List"/>
    <w:uiPriority w:val="99"/>
    <w:semiHidden/>
    <w:unhideWhenUsed/>
  </w:style>
  <w:style w:type="character" w:styleId="1000" w:customStyle="1">
    <w:name w:val="Заголовок 1 Знак"/>
    <w:link w:val="988"/>
    <w:rPr>
      <w:rFonts w:ascii="Cambria" w:hAnsi="Cambria"/>
      <w:b/>
      <w:bCs/>
      <w:sz w:val="32"/>
      <w:szCs w:val="32"/>
    </w:rPr>
  </w:style>
  <w:style w:type="character" w:styleId="1001" w:customStyle="1">
    <w:name w:val="Заголовок 2 Знак"/>
    <w:link w:val="989"/>
    <w:rPr>
      <w:rFonts w:ascii="Cambria" w:hAnsi="Cambria"/>
      <w:b/>
      <w:bCs/>
      <w:i/>
      <w:iCs/>
      <w:sz w:val="28"/>
      <w:szCs w:val="28"/>
    </w:rPr>
  </w:style>
  <w:style w:type="character" w:styleId="1002" w:customStyle="1">
    <w:name w:val="Заголовок 3 Знак"/>
    <w:link w:val="990"/>
    <w:uiPriority w:val="9"/>
    <w:rPr>
      <w:rFonts w:ascii="Cambria" w:hAnsi="Cambria"/>
      <w:b/>
      <w:bCs/>
      <w:sz w:val="26"/>
      <w:szCs w:val="26"/>
    </w:rPr>
  </w:style>
  <w:style w:type="character" w:styleId="1003" w:customStyle="1">
    <w:name w:val="Заголовок 4 Знак"/>
    <w:link w:val="991"/>
    <w:uiPriority w:val="9"/>
    <w:rPr>
      <w:rFonts w:ascii="Calibri" w:hAnsi="Calibri"/>
      <w:b/>
      <w:bCs/>
      <w:sz w:val="28"/>
      <w:szCs w:val="28"/>
    </w:rPr>
  </w:style>
  <w:style w:type="character" w:styleId="1004" w:customStyle="1">
    <w:name w:val="Заголовок 5 Знак"/>
    <w:link w:val="992"/>
    <w:uiPriority w:val="9"/>
    <w:rPr>
      <w:rFonts w:ascii="Calibri" w:hAnsi="Calibri"/>
      <w:b/>
      <w:bCs/>
      <w:i/>
      <w:iCs/>
      <w:sz w:val="26"/>
      <w:szCs w:val="26"/>
    </w:rPr>
  </w:style>
  <w:style w:type="character" w:styleId="1005" w:customStyle="1">
    <w:name w:val="Заголовок 6 Знак"/>
    <w:link w:val="993"/>
    <w:uiPriority w:val="9"/>
    <w:rPr>
      <w:rFonts w:ascii="Calibri" w:hAnsi="Calibri"/>
      <w:b/>
      <w:bCs/>
    </w:rPr>
  </w:style>
  <w:style w:type="character" w:styleId="1006" w:customStyle="1">
    <w:name w:val="Заголовок 7 Знак"/>
    <w:link w:val="994"/>
    <w:uiPriority w:val="9"/>
    <w:rPr>
      <w:rFonts w:ascii="Calibri" w:hAnsi="Calibri"/>
      <w:sz w:val="24"/>
      <w:szCs w:val="24"/>
    </w:rPr>
  </w:style>
  <w:style w:type="character" w:styleId="1007" w:customStyle="1">
    <w:name w:val="Заголовок 8 Знак"/>
    <w:link w:val="995"/>
    <w:uiPriority w:val="9"/>
    <w:rPr>
      <w:rFonts w:ascii="Calibri" w:hAnsi="Calibri"/>
      <w:i/>
      <w:iCs/>
      <w:sz w:val="24"/>
      <w:szCs w:val="24"/>
    </w:rPr>
  </w:style>
  <w:style w:type="character" w:styleId="1008" w:customStyle="1">
    <w:name w:val="Заголовок 9 Знак"/>
    <w:link w:val="996"/>
    <w:uiPriority w:val="9"/>
    <w:rPr>
      <w:rFonts w:ascii="Cambria" w:hAnsi="Cambria"/>
    </w:rPr>
  </w:style>
  <w:style w:type="paragraph" w:styleId="1009">
    <w:name w:val="Balloon Text"/>
    <w:basedOn w:val="987"/>
    <w:link w:val="1010"/>
    <w:uiPriority w:val="99"/>
    <w:semiHidden/>
    <w:rPr>
      <w:rFonts w:ascii="Tahoma" w:hAnsi="Tahoma"/>
      <w:sz w:val="16"/>
      <w:szCs w:val="16"/>
    </w:rPr>
  </w:style>
  <w:style w:type="character" w:styleId="1010" w:customStyle="1">
    <w:name w:val="Текст выноски Знак"/>
    <w:link w:val="1009"/>
    <w:uiPriority w:val="99"/>
    <w:semiHidden/>
    <w:rPr>
      <w:rFonts w:ascii="Tahoma" w:hAnsi="Tahoma" w:cs="Tahoma"/>
      <w:sz w:val="16"/>
      <w:szCs w:val="16"/>
    </w:rPr>
  </w:style>
  <w:style w:type="paragraph" w:styleId="1011">
    <w:name w:val="Header"/>
    <w:basedOn w:val="987"/>
    <w:link w:val="1012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1012" w:customStyle="1">
    <w:name w:val="Верхний колонтитул Знак"/>
    <w:link w:val="1011"/>
    <w:uiPriority w:val="99"/>
    <w:rPr>
      <w:sz w:val="28"/>
      <w:szCs w:val="28"/>
    </w:rPr>
  </w:style>
  <w:style w:type="paragraph" w:styleId="1013">
    <w:name w:val="Footer"/>
    <w:basedOn w:val="987"/>
    <w:link w:val="1014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1014" w:customStyle="1">
    <w:name w:val="Нижний колонтитул Знак"/>
    <w:link w:val="1013"/>
    <w:uiPriority w:val="99"/>
    <w:rPr>
      <w:sz w:val="28"/>
      <w:szCs w:val="28"/>
    </w:rPr>
  </w:style>
  <w:style w:type="character" w:styleId="1015">
    <w:name w:val="Hyperlink"/>
    <w:uiPriority w:val="99"/>
    <w:rPr>
      <w:color w:val="0000ff"/>
      <w:u w:val="single"/>
    </w:rPr>
  </w:style>
  <w:style w:type="character" w:styleId="1016">
    <w:name w:val="footnote reference"/>
    <w:uiPriority w:val="99"/>
    <w:rPr>
      <w:vertAlign w:val="superscript"/>
    </w:rPr>
  </w:style>
  <w:style w:type="character" w:styleId="1017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1018">
    <w:name w:val="toc 1"/>
    <w:basedOn w:val="987"/>
    <w:next w:val="987"/>
    <w:uiPriority w:val="3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1019">
    <w:name w:val="toc 2"/>
    <w:basedOn w:val="987"/>
    <w:next w:val="987"/>
    <w:uiPriority w:val="3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1020">
    <w:name w:val="toc 3"/>
    <w:basedOn w:val="987"/>
    <w:next w:val="987"/>
    <w:uiPriority w:val="3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1021">
    <w:name w:val="toc 4"/>
    <w:basedOn w:val="987"/>
    <w:next w:val="987"/>
    <w:uiPriority w:val="3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1022">
    <w:name w:val="FollowedHyperlink"/>
    <w:uiPriority w:val="99"/>
    <w:rPr>
      <w:color w:val="800080"/>
      <w:u w:val="single"/>
    </w:rPr>
  </w:style>
  <w:style w:type="paragraph" w:styleId="1023">
    <w:name w:val="Document Map"/>
    <w:basedOn w:val="987"/>
    <w:link w:val="1024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1024" w:customStyle="1">
    <w:name w:val="Схема документа Знак"/>
    <w:link w:val="1023"/>
    <w:uiPriority w:val="99"/>
    <w:semiHidden/>
    <w:rPr>
      <w:rFonts w:ascii="Tahoma" w:hAnsi="Tahoma" w:cs="Tahoma"/>
      <w:sz w:val="16"/>
      <w:szCs w:val="16"/>
    </w:rPr>
  </w:style>
  <w:style w:type="paragraph" w:styleId="1025" w:customStyle="1">
    <w:name w:val="Таблица шапка"/>
    <w:basedOn w:val="987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026">
    <w:name w:val="footnote text"/>
    <w:basedOn w:val="987"/>
    <w:link w:val="1027"/>
    <w:uiPriority w:val="99"/>
    <w:semiHidden/>
    <w:pPr>
      <w:spacing w:line="240" w:lineRule="auto"/>
    </w:pPr>
    <w:rPr>
      <w:sz w:val="20"/>
      <w:szCs w:val="20"/>
    </w:rPr>
  </w:style>
  <w:style w:type="character" w:styleId="1027" w:customStyle="1">
    <w:name w:val="Текст сноски Знак"/>
    <w:link w:val="1026"/>
    <w:uiPriority w:val="99"/>
    <w:semiHidden/>
    <w:rPr>
      <w:sz w:val="20"/>
      <w:szCs w:val="20"/>
    </w:rPr>
  </w:style>
  <w:style w:type="paragraph" w:styleId="1028" w:customStyle="1">
    <w:name w:val="Таблица текст"/>
    <w:basedOn w:val="987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29">
    <w:name w:val="Caption"/>
    <w:basedOn w:val="987"/>
    <w:next w:val="987"/>
    <w:link w:val="856"/>
    <w:uiPriority w:val="35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30">
    <w:name w:val="toc 5"/>
    <w:basedOn w:val="987"/>
    <w:next w:val="987"/>
    <w:uiPriority w:val="39"/>
    <w:semiHidden/>
    <w:pPr>
      <w:ind w:left="1120"/>
      <w:jc w:val="left"/>
    </w:pPr>
    <w:rPr>
      <w:sz w:val="18"/>
      <w:szCs w:val="18"/>
    </w:rPr>
  </w:style>
  <w:style w:type="paragraph" w:styleId="1031">
    <w:name w:val="toc 6"/>
    <w:basedOn w:val="987"/>
    <w:next w:val="987"/>
    <w:uiPriority w:val="39"/>
    <w:semiHidden/>
    <w:pPr>
      <w:ind w:left="1400"/>
      <w:jc w:val="left"/>
    </w:pPr>
    <w:rPr>
      <w:sz w:val="18"/>
      <w:szCs w:val="18"/>
    </w:rPr>
  </w:style>
  <w:style w:type="paragraph" w:styleId="1032">
    <w:name w:val="toc 7"/>
    <w:basedOn w:val="987"/>
    <w:next w:val="987"/>
    <w:uiPriority w:val="39"/>
    <w:semiHidden/>
    <w:pPr>
      <w:ind w:left="1680"/>
      <w:jc w:val="left"/>
    </w:pPr>
    <w:rPr>
      <w:sz w:val="18"/>
      <w:szCs w:val="18"/>
    </w:rPr>
  </w:style>
  <w:style w:type="paragraph" w:styleId="1033">
    <w:name w:val="toc 8"/>
    <w:basedOn w:val="987"/>
    <w:next w:val="987"/>
    <w:uiPriority w:val="39"/>
    <w:semiHidden/>
    <w:pPr>
      <w:ind w:left="1960"/>
      <w:jc w:val="left"/>
    </w:pPr>
    <w:rPr>
      <w:sz w:val="18"/>
      <w:szCs w:val="18"/>
    </w:rPr>
  </w:style>
  <w:style w:type="paragraph" w:styleId="1034">
    <w:name w:val="toc 9"/>
    <w:basedOn w:val="987"/>
    <w:next w:val="987"/>
    <w:uiPriority w:val="39"/>
    <w:semiHidden/>
    <w:pPr>
      <w:ind w:left="2240"/>
      <w:jc w:val="left"/>
    </w:pPr>
    <w:rPr>
      <w:sz w:val="18"/>
      <w:szCs w:val="18"/>
    </w:rPr>
  </w:style>
  <w:style w:type="paragraph" w:styleId="1035" w:customStyle="1">
    <w:name w:val="маркированный"/>
    <w:basedOn w:val="987"/>
    <w:uiPriority w:val="99"/>
    <w:pPr>
      <w:ind w:firstLine="0"/>
    </w:pPr>
  </w:style>
  <w:style w:type="paragraph" w:styleId="1036" w:customStyle="1">
    <w:name w:val="Пункт"/>
    <w:basedOn w:val="987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37" w:customStyle="1">
    <w:name w:val="Пункт Знак"/>
    <w:rPr>
      <w:sz w:val="28"/>
      <w:szCs w:val="28"/>
      <w:lang w:val="ru-RU" w:eastAsia="ru-RU"/>
    </w:rPr>
  </w:style>
  <w:style w:type="paragraph" w:styleId="1038" w:customStyle="1">
    <w:name w:val="Подпункт"/>
    <w:basedOn w:val="1036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39" w:customStyle="1">
    <w:name w:val="Подпункт Знак"/>
    <w:uiPriority w:val="99"/>
  </w:style>
  <w:style w:type="character" w:styleId="1040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41" w:customStyle="1">
    <w:name w:val="Пункт-2"/>
    <w:basedOn w:val="1036"/>
    <w:uiPriority w:val="99"/>
    <w:pPr>
      <w:keepNext/>
      <w:outlineLvl w:val="2"/>
    </w:pPr>
    <w:rPr>
      <w:b/>
      <w:bCs/>
    </w:rPr>
  </w:style>
  <w:style w:type="paragraph" w:styleId="1042" w:customStyle="1">
    <w:name w:val="Подподпункт"/>
    <w:basedOn w:val="1038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43">
    <w:name w:val="List Number"/>
    <w:basedOn w:val="987"/>
    <w:uiPriority w:val="99"/>
    <w:pPr>
      <w:ind w:firstLine="0"/>
      <w:spacing w:before="60"/>
    </w:pPr>
  </w:style>
  <w:style w:type="paragraph" w:styleId="1044" w:customStyle="1">
    <w:name w:val="Текст таблицы"/>
    <w:basedOn w:val="987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45" w:customStyle="1">
    <w:name w:val="Пункт б/н"/>
    <w:basedOn w:val="987"/>
    <w:uiPriority w:val="99"/>
    <w:pPr>
      <w:tabs>
        <w:tab w:val="left" w:pos="1134" w:leader="none"/>
      </w:tabs>
    </w:pPr>
  </w:style>
  <w:style w:type="paragraph" w:styleId="1046">
    <w:name w:val="List Bullet"/>
    <w:basedOn w:val="987"/>
    <w:pPr>
      <w:ind w:firstLine="0"/>
    </w:pPr>
  </w:style>
  <w:style w:type="paragraph" w:styleId="1047">
    <w:name w:val="Body Text 2"/>
    <w:basedOn w:val="987"/>
    <w:link w:val="1048"/>
    <w:uiPriority w:val="99"/>
    <w:pPr>
      <w:ind w:left="5760" w:firstLine="0"/>
      <w:jc w:val="left"/>
      <w:spacing w:line="240" w:lineRule="auto"/>
    </w:pPr>
  </w:style>
  <w:style w:type="character" w:styleId="1048" w:customStyle="1">
    <w:name w:val="Основной текст 2 Знак"/>
    <w:link w:val="1047"/>
    <w:uiPriority w:val="99"/>
    <w:semiHidden/>
    <w:rPr>
      <w:sz w:val="28"/>
      <w:szCs w:val="28"/>
    </w:rPr>
  </w:style>
  <w:style w:type="paragraph" w:styleId="1049">
    <w:name w:val="annotation text"/>
    <w:basedOn w:val="987"/>
    <w:link w:val="1053"/>
    <w:semiHidden/>
    <w:rPr>
      <w:sz w:val="20"/>
      <w:szCs w:val="20"/>
    </w:rPr>
  </w:style>
  <w:style w:type="character" w:styleId="1050">
    <w:name w:val="annotation reference"/>
    <w:semiHidden/>
    <w:rPr>
      <w:sz w:val="16"/>
    </w:rPr>
  </w:style>
  <w:style w:type="paragraph" w:styleId="1051" w:customStyle="1">
    <w:name w:val="Пункт_3"/>
    <w:basedOn w:val="987"/>
    <w:uiPriority w:val="99"/>
    <w:pPr>
      <w:ind w:firstLine="0"/>
      <w:spacing w:line="240" w:lineRule="auto"/>
    </w:pPr>
  </w:style>
  <w:style w:type="paragraph" w:styleId="1052">
    <w:name w:val="annotation subject"/>
    <w:basedOn w:val="1049"/>
    <w:next w:val="1049"/>
    <w:link w:val="1054"/>
    <w:uiPriority w:val="99"/>
    <w:semiHidden/>
    <w:unhideWhenUsed/>
    <w:rPr>
      <w:b/>
      <w:bCs/>
    </w:rPr>
  </w:style>
  <w:style w:type="character" w:styleId="1053" w:customStyle="1">
    <w:name w:val="Текст примечания Знак"/>
    <w:basedOn w:val="997"/>
    <w:link w:val="1049"/>
    <w:semiHidden/>
  </w:style>
  <w:style w:type="character" w:styleId="1054" w:customStyle="1">
    <w:name w:val="Тема примечания Знак"/>
    <w:link w:val="1052"/>
    <w:uiPriority w:val="99"/>
    <w:semiHidden/>
    <w:rPr>
      <w:b/>
      <w:bCs/>
    </w:rPr>
  </w:style>
  <w:style w:type="paragraph" w:styleId="1055">
    <w:name w:val="List Paragraph"/>
    <w:basedOn w:val="987"/>
    <w:link w:val="1070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056">
    <w:name w:val="Normal (Web)"/>
    <w:basedOn w:val="987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57">
    <w:name w:val="Body Text"/>
    <w:basedOn w:val="987"/>
    <w:link w:val="1058"/>
    <w:uiPriority w:val="99"/>
    <w:semiHidden/>
    <w:unhideWhenUsed/>
    <w:pPr>
      <w:spacing w:after="120"/>
    </w:pPr>
  </w:style>
  <w:style w:type="character" w:styleId="1058" w:customStyle="1">
    <w:name w:val="Основной текст Знак"/>
    <w:link w:val="1057"/>
    <w:uiPriority w:val="99"/>
    <w:semiHidden/>
    <w:rPr>
      <w:sz w:val="28"/>
      <w:szCs w:val="28"/>
    </w:rPr>
  </w:style>
  <w:style w:type="paragraph" w:styleId="1059">
    <w:name w:val="Title"/>
    <w:basedOn w:val="987"/>
    <w:link w:val="1060"/>
    <w:uiPriority w:val="10"/>
    <w:qFormat/>
    <w:pPr>
      <w:ind w:firstLine="0"/>
      <w:jc w:val="center"/>
      <w:spacing w:line="240" w:lineRule="auto"/>
    </w:pPr>
    <w:rPr>
      <w:b/>
      <w:szCs w:val="20"/>
    </w:rPr>
  </w:style>
  <w:style w:type="character" w:styleId="1060" w:customStyle="1">
    <w:name w:val="Заголовок Знак"/>
    <w:link w:val="1059"/>
    <w:rPr>
      <w:b/>
      <w:sz w:val="28"/>
    </w:rPr>
  </w:style>
  <w:style w:type="paragraph" w:styleId="1061">
    <w:name w:val="Revision"/>
    <w:hidden/>
    <w:uiPriority w:val="99"/>
    <w:semiHidden/>
    <w:rPr>
      <w:sz w:val="28"/>
      <w:szCs w:val="28"/>
    </w:rPr>
  </w:style>
  <w:style w:type="character" w:styleId="1062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063">
    <w:name w:val="endnote text"/>
    <w:basedOn w:val="987"/>
    <w:link w:val="1064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064" w:customStyle="1">
    <w:name w:val="Текст концевой сноски Знак"/>
    <w:basedOn w:val="997"/>
    <w:link w:val="1063"/>
    <w:uiPriority w:val="99"/>
    <w:rPr>
      <w:bCs/>
      <w:lang w:eastAsia="ar-SA"/>
    </w:rPr>
  </w:style>
  <w:style w:type="character" w:styleId="1065">
    <w:name w:val="endnote reference"/>
    <w:basedOn w:val="997"/>
    <w:uiPriority w:val="99"/>
    <w:semiHidden/>
    <w:unhideWhenUsed/>
    <w:rPr>
      <w:vertAlign w:val="superscript"/>
    </w:rPr>
  </w:style>
  <w:style w:type="character" w:styleId="1066" w:customStyle="1">
    <w:name w:val="FTN _коммСтиль курсив Узор: Нет (Светло-желтый)"/>
    <w:rPr>
      <w:bCs/>
      <w:i/>
      <w:iCs/>
      <w:sz w:val="24"/>
      <w:szCs w:val="24"/>
      <w:shd w:val="clear" w:color="auto" w:fill="ffff99"/>
      <w:lang w:eastAsia="ar-SA"/>
    </w:rPr>
  </w:style>
  <w:style w:type="paragraph" w:styleId="1067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68">
    <w:name w:val="No Spacing"/>
    <w:link w:val="1069"/>
    <w:uiPriority w:val="1"/>
    <w:qFormat/>
    <w:pPr>
      <w:ind w:firstLine="567"/>
      <w:jc w:val="both"/>
    </w:pPr>
    <w:rPr>
      <w:sz w:val="28"/>
      <w:szCs w:val="28"/>
    </w:rPr>
  </w:style>
  <w:style w:type="character" w:styleId="1069" w:customStyle="1">
    <w:name w:val="Без интервала Знак"/>
    <w:link w:val="1068"/>
    <w:uiPriority w:val="1"/>
    <w:rPr>
      <w:sz w:val="28"/>
      <w:szCs w:val="28"/>
    </w:rPr>
  </w:style>
  <w:style w:type="character" w:styleId="1070" w:customStyle="1">
    <w:name w:val="Абзац списка Знак"/>
    <w:basedOn w:val="997"/>
    <w:link w:val="1055"/>
    <w:uiPriority w:val="34"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customXml" Target="../customXml/item1.xml" /><Relationship Id="rId15" Type="http://schemas.openxmlformats.org/officeDocument/2006/relationships/hyperlink" Target="mailto:Lebedkina-AN@rosseti-ural.ru" TargetMode="External"/><Relationship Id="rId16" Type="http://schemas.openxmlformats.org/officeDocument/2006/relationships/hyperlink" Target="mailto:Ronzhin-AV@rosseti-ural.ru" TargetMode="External"/><Relationship Id="rId17" Type="http://schemas.openxmlformats.org/officeDocument/2006/relationships/hyperlink" Target="https://tender.lot-online.ru" TargetMode="External"/><Relationship Id="rId18" Type="http://schemas.openxmlformats.org/officeDocument/2006/relationships/image" Target="media/image1.emf"/><Relationship Id="rId19" Type="http://schemas.openxmlformats.org/officeDocument/2006/relationships/oleObject" Target="embeddings/oleObject1.bin"/><Relationship Id="rId20" Type="http://schemas.openxmlformats.org/officeDocument/2006/relationships/hyperlink" Target="http://www.rosseti.ru/about/contacts/opinion/" TargetMode="External"/><Relationship Id="rId21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EC0F-5E22-4938-B5D3-53269E70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Р7-Офис/2026.2.2.2683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Lebedkina-AN</cp:lastModifiedBy>
  <cp:revision>85</cp:revision>
  <dcterms:created xsi:type="dcterms:W3CDTF">2025-01-16T03:18:00Z</dcterms:created>
  <dcterms:modified xsi:type="dcterms:W3CDTF">2026-09-10T10:08:37Z</dcterms:modified>
</cp:coreProperties>
</file>